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pacing w:val="200"/>
          <w:kern w:val="1"/>
          <w:sz w:val="36"/>
          <w:szCs w:val="36"/>
          <w:lang w:val="en-US"/>
        </w:rPr>
      </w:pPr>
      <w:r>
        <w:rPr>
          <w:rFonts w:ascii="Arial" w:hAnsi="Arial" w:cs="Arial"/>
          <w:b/>
          <w:bCs/>
          <w:spacing w:val="200"/>
          <w:kern w:val="1"/>
          <w:sz w:val="36"/>
          <w:szCs w:val="36"/>
          <w:lang w:val="en-US"/>
        </w:rPr>
        <w:t>EJERAFTALE</w:t>
      </w:r>
    </w:p>
    <w:p w:rsidR="001D50F2" w:rsidRDefault="001D50F2" w:rsidP="001D50F2">
      <w:pPr>
        <w:widowControl w:val="0"/>
        <w:tabs>
          <w:tab w:val="left" w:pos="0"/>
          <w:tab w:val="right" w:pos="567"/>
          <w:tab w:val="left" w:pos="4678"/>
        </w:tabs>
        <w:autoSpaceDE w:val="0"/>
        <w:autoSpaceDN w:val="0"/>
        <w:adjustRightInd w:val="0"/>
        <w:rPr>
          <w:rFonts w:ascii="Arial" w:hAnsi="Arial" w:cs="Arial"/>
          <w:sz w:val="22"/>
          <w:szCs w:val="22"/>
          <w:lang w:val="en-US"/>
        </w:rPr>
      </w:pPr>
    </w:p>
    <w:p w:rsidR="001D50F2" w:rsidRDefault="001D50F2" w:rsidP="001D50F2">
      <w:pPr>
        <w:widowControl w:val="0"/>
        <w:tabs>
          <w:tab w:val="left" w:pos="0"/>
          <w:tab w:val="right" w:pos="567"/>
          <w:tab w:val="left" w:pos="4678"/>
        </w:tabs>
        <w:autoSpaceDE w:val="0"/>
        <w:autoSpaceDN w:val="0"/>
        <w:adjustRightInd w:val="0"/>
        <w:rPr>
          <w:rFonts w:ascii="Arial" w:hAnsi="Arial" w:cs="Arial"/>
          <w:sz w:val="22"/>
          <w:szCs w:val="22"/>
          <w:lang w:val="en-US"/>
        </w:rPr>
      </w:pPr>
    </w:p>
    <w:p w:rsidR="001D50F2" w:rsidRDefault="001D50F2" w:rsidP="001D50F2">
      <w:pPr>
        <w:widowControl w:val="0"/>
        <w:tabs>
          <w:tab w:val="left" w:pos="0"/>
          <w:tab w:val="right" w:pos="567"/>
          <w:tab w:val="left" w:pos="4678"/>
        </w:tabs>
        <w:autoSpaceDE w:val="0"/>
        <w:autoSpaceDN w:val="0"/>
        <w:adjustRightInd w:val="0"/>
        <w:rPr>
          <w:rFonts w:ascii="Arial" w:hAnsi="Arial" w:cs="Arial"/>
          <w:sz w:val="22"/>
          <w:szCs w:val="22"/>
          <w:lang w:val="en-US"/>
        </w:rPr>
      </w:pPr>
    </w:p>
    <w:p w:rsidR="001D50F2" w:rsidRDefault="001D50F2" w:rsidP="001D50F2">
      <w:pPr>
        <w:widowControl w:val="0"/>
        <w:tabs>
          <w:tab w:val="left" w:pos="0"/>
          <w:tab w:val="right" w:pos="567"/>
          <w:tab w:val="left" w:pos="4678"/>
        </w:tabs>
        <w:autoSpaceDE w:val="0"/>
        <w:autoSpaceDN w:val="0"/>
        <w:adjustRightInd w:val="0"/>
        <w:rPr>
          <w:rFonts w:ascii="Arial" w:hAnsi="Arial" w:cs="Arial"/>
          <w:sz w:val="22"/>
          <w:szCs w:val="22"/>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jc w:val="both"/>
        <w:rPr>
          <w:rFonts w:ascii="Courier New" w:hAnsi="Courier New" w:cs="Courier New"/>
          <w:spacing w:val="-3"/>
          <w:kern w:val="1"/>
          <w:sz w:val="20"/>
          <w:szCs w:val="20"/>
          <w:lang w:val="en-US"/>
        </w:rPr>
      </w:pPr>
      <w:r>
        <w:rPr>
          <w:rFonts w:ascii="Arial" w:hAnsi="Arial" w:cs="Arial"/>
          <w:spacing w:val="-3"/>
          <w:kern w:val="1"/>
          <w:sz w:val="22"/>
          <w:szCs w:val="22"/>
          <w:lang w:val="en-US"/>
        </w:rPr>
        <w:t>Mellem undertegnede</w:t>
      </w:r>
      <w:r>
        <w:rPr>
          <w:rFonts w:ascii="Arial" w:hAnsi="Arial" w:cs="Arial"/>
          <w:spacing w:val="-3"/>
          <w:kern w:val="1"/>
          <w:sz w:val="22"/>
          <w:szCs w:val="22"/>
          <w:lang w:val="en-US"/>
        </w:rPr>
        <w:tab/>
      </w:r>
      <w:r>
        <w:rPr>
          <w:rFonts w:ascii="Arial" w:hAnsi="Arial" w:cs="Arial"/>
          <w:spacing w:val="-3"/>
          <w:kern w:val="1"/>
          <w:sz w:val="22"/>
          <w:szCs w:val="22"/>
          <w:lang w:val="en-US"/>
        </w:rPr>
        <w:tab/>
      </w:r>
      <w:r>
        <w:rPr>
          <w:rFonts w:ascii="Arial" w:hAnsi="Arial" w:cs="Arial"/>
          <w:spacing w:val="-3"/>
          <w:kern w:val="1"/>
          <w:sz w:val="22"/>
          <w:szCs w:val="22"/>
          <w:lang w:val="en-US"/>
        </w:rPr>
        <w:tab/>
      </w: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spacing w:val="-3"/>
          <w:kern w:val="1"/>
          <w:sz w:val="22"/>
          <w:szCs w:val="22"/>
          <w:lang w:val="en-US"/>
        </w:rPr>
      </w:pPr>
      <w:r>
        <w:rPr>
          <w:rFonts w:ascii="Arial" w:hAnsi="Arial" w:cs="Arial"/>
          <w:spacing w:val="-3"/>
          <w:kern w:val="1"/>
          <w:sz w:val="22"/>
          <w:szCs w:val="22"/>
          <w:lang w:val="en-US"/>
        </w:rPr>
        <w:tab/>
      </w:r>
      <w:r>
        <w:rPr>
          <w:rFonts w:ascii="Arial" w:hAnsi="Arial" w:cs="Arial"/>
          <w:spacing w:val="-3"/>
          <w:kern w:val="1"/>
          <w:sz w:val="22"/>
          <w:szCs w:val="22"/>
          <w:lang w:val="en-US"/>
        </w:rPr>
        <w:tab/>
      </w:r>
      <w:r>
        <w:rPr>
          <w:rFonts w:ascii="Arial" w:hAnsi="Arial" w:cs="Arial"/>
          <w:spacing w:val="-3"/>
          <w:kern w:val="1"/>
          <w:sz w:val="22"/>
          <w:szCs w:val="22"/>
          <w:lang w:val="en-US"/>
        </w:rPr>
        <w:tab/>
      </w:r>
      <w:r>
        <w:rPr>
          <w:rFonts w:ascii="Arial" w:hAnsi="Arial" w:cs="Arial"/>
          <w:b/>
          <w:bCs/>
          <w:spacing w:val="-3"/>
          <w:kern w:val="1"/>
          <w:sz w:val="22"/>
          <w:szCs w:val="22"/>
          <w:lang w:val="en-US"/>
        </w:rPr>
        <w:t xml:space="preserve">Ejer 1 </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lang w:val="en-US"/>
        </w:rPr>
      </w:pPr>
      <w:r>
        <w:rPr>
          <w:rFonts w:ascii="Arial" w:hAnsi="Arial" w:cs="Arial"/>
          <w:spacing w:val="-3"/>
          <w:kern w:val="1"/>
          <w:sz w:val="22"/>
          <w:szCs w:val="22"/>
          <w:lang w:val="en-US"/>
        </w:rPr>
        <w:tab/>
      </w:r>
      <w:r>
        <w:rPr>
          <w:rFonts w:ascii="Arial" w:hAnsi="Arial" w:cs="Arial"/>
          <w:spacing w:val="-3"/>
          <w:kern w:val="1"/>
          <w:sz w:val="22"/>
          <w:szCs w:val="22"/>
          <w:lang w:val="en-US"/>
        </w:rPr>
        <w:tab/>
      </w:r>
      <w:r>
        <w:rPr>
          <w:rFonts w:ascii="Arial" w:hAnsi="Arial" w:cs="Arial"/>
          <w:spacing w:val="-3"/>
          <w:kern w:val="1"/>
          <w:sz w:val="22"/>
          <w:szCs w:val="22"/>
          <w:lang w:val="en-US"/>
        </w:rPr>
        <w:tab/>
      </w:r>
      <w:r>
        <w:rPr>
          <w:rFonts w:ascii="Arial" w:hAnsi="Arial" w:cs="Arial"/>
          <w:spacing w:val="-3"/>
          <w:kern w:val="1"/>
          <w:sz w:val="22"/>
          <w:szCs w:val="22"/>
          <w:lang w:val="en-US"/>
        </w:rPr>
        <w:tab/>
        <w:t xml:space="preserve">CVR nr. </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xxx</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Postnr. By</w:t>
      </w:r>
      <w:r>
        <w:rPr>
          <w:rFonts w:ascii="Arial" w:hAnsi="Arial" w:cs="Arial"/>
          <w:color w:val="0000FF"/>
          <w:sz w:val="22"/>
          <w:szCs w:val="22"/>
          <w:u w:val="single" w:color="0000FF"/>
          <w:lang w:val="en-US"/>
        </w:rPr>
        <w:t>  </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jc w:val="both"/>
        <w:rPr>
          <w:rFonts w:ascii="Courier New" w:hAnsi="Courier New" w:cs="Courier New"/>
          <w:spacing w:val="-3"/>
          <w:kern w:val="1"/>
          <w:sz w:val="20"/>
          <w:szCs w:val="20"/>
          <w:u w:color="0000FF"/>
          <w:lang w:val="en-US"/>
        </w:rPr>
      </w:pPr>
      <w:r>
        <w:rPr>
          <w:rFonts w:ascii="Arial" w:hAnsi="Arial" w:cs="Arial"/>
          <w:spacing w:val="-3"/>
          <w:kern w:val="1"/>
          <w:sz w:val="22"/>
          <w:szCs w:val="22"/>
          <w:u w:color="0000FF"/>
          <w:lang w:val="en-US"/>
        </w:rPr>
        <w:t>og medundertegnede</w:t>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spacing w:val="-3"/>
          <w:kern w:val="1"/>
          <w:sz w:val="22"/>
          <w:szCs w:val="22"/>
          <w:u w:color="0000FF"/>
          <w:lang w:val="en-US"/>
        </w:rPr>
      </w:pP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t>Ejer 2</w:t>
      </w: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spacing w:val="-3"/>
          <w:kern w:val="1"/>
          <w:sz w:val="22"/>
          <w:szCs w:val="22"/>
          <w:u w:color="0000FF"/>
          <w:lang w:val="en-US"/>
        </w:rPr>
      </w:pP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t xml:space="preserve">CVR: </w:t>
      </w: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spacing w:val="-3"/>
          <w:kern w:val="1"/>
          <w:sz w:val="22"/>
          <w:szCs w:val="22"/>
          <w:u w:color="0000FF"/>
          <w:lang w:val="en-US"/>
        </w:rPr>
      </w:pP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spacing w:val="-3"/>
          <w:kern w:val="1"/>
          <w:sz w:val="22"/>
          <w:szCs w:val="22"/>
          <w:u w:color="0000FF"/>
          <w:lang w:val="en-US"/>
        </w:rPr>
      </w:pP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jc w:val="both"/>
        <w:rPr>
          <w:rFonts w:ascii="Courier New" w:hAnsi="Courier New" w:cs="Courier New"/>
          <w:spacing w:val="-3"/>
          <w:kern w:val="1"/>
          <w:sz w:val="20"/>
          <w:szCs w:val="20"/>
          <w:u w:color="0000FF"/>
          <w:lang w:val="en-US"/>
        </w:rPr>
      </w:pPr>
      <w:r>
        <w:rPr>
          <w:rFonts w:ascii="Arial" w:hAnsi="Arial" w:cs="Arial"/>
          <w:spacing w:val="-3"/>
          <w:kern w:val="1"/>
          <w:sz w:val="22"/>
          <w:szCs w:val="22"/>
          <w:u w:color="0000FF"/>
          <w:lang w:val="en-US"/>
        </w:rPr>
        <w:t>og medundertegnede</w:t>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b/>
          <w:bCs/>
          <w:spacing w:val="-3"/>
          <w:kern w:val="1"/>
          <w:sz w:val="22"/>
          <w:szCs w:val="22"/>
          <w:u w:color="0000FF"/>
          <w:lang w:val="en-US"/>
        </w:rPr>
      </w:pP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b/>
          <w:bCs/>
          <w:spacing w:val="-3"/>
          <w:kern w:val="1"/>
          <w:sz w:val="22"/>
          <w:szCs w:val="22"/>
          <w:u w:color="0000FF"/>
          <w:lang w:val="en-US"/>
        </w:rPr>
        <w:t xml:space="preserve">Amino ApS </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r>
      <w:r>
        <w:rPr>
          <w:rFonts w:ascii="Arial" w:hAnsi="Arial" w:cs="Arial"/>
          <w:spacing w:val="-3"/>
          <w:kern w:val="1"/>
          <w:sz w:val="22"/>
          <w:szCs w:val="22"/>
          <w:u w:color="0000FF"/>
          <w:lang w:val="en-US"/>
        </w:rPr>
        <w:tab/>
        <w:t xml:space="preserve">CVR nr. </w:t>
      </w:r>
      <w:r>
        <w:rPr>
          <w:rFonts w:ascii="Arial" w:hAnsi="Arial" w:cs="Arial"/>
          <w:sz w:val="22"/>
          <w:szCs w:val="22"/>
          <w:u w:color="0000FF"/>
          <w:lang w:val="en-US"/>
        </w:rPr>
        <w:t>30581199</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t xml:space="preserve">Nattergalevej 6, 1. </w:t>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r>
      <w:r>
        <w:rPr>
          <w:rFonts w:ascii="Arial" w:hAnsi="Arial" w:cs="Arial"/>
          <w:sz w:val="22"/>
          <w:szCs w:val="22"/>
          <w:u w:color="0000FF"/>
          <w:lang w:val="en-US"/>
        </w:rPr>
        <w:tab/>
        <w:t>2400 København NV</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spacing w:val="-3"/>
          <w:kern w:val="1"/>
          <w:sz w:val="22"/>
          <w:szCs w:val="22"/>
          <w:u w:color="0000FF"/>
          <w:lang w:val="en-US"/>
        </w:rPr>
      </w:pP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Cambria" w:hAnsi="Cambria" w:cs="Cambria"/>
          <w:spacing w:val="-3"/>
          <w:kern w:val="1"/>
          <w:sz w:val="22"/>
          <w:szCs w:val="22"/>
          <w:u w:color="0000FF"/>
          <w:lang w:val="en-US"/>
        </w:rPr>
      </w:pPr>
      <w:r>
        <w:rPr>
          <w:rFonts w:ascii="Arial" w:hAnsi="Arial" w:cs="Arial"/>
          <w:spacing w:val="-3"/>
          <w:kern w:val="1"/>
          <w:sz w:val="22"/>
          <w:szCs w:val="22"/>
          <w:u w:color="0000FF"/>
          <w:lang w:val="en-US"/>
        </w:rPr>
        <w:t xml:space="preserve">er indgået følgende ejeraftale vedrørende </w:t>
      </w:r>
      <w:r>
        <w:rPr>
          <w:rFonts w:ascii="Arial" w:hAnsi="Arial" w:cs="Arial"/>
          <w:b/>
          <w:bCs/>
          <w:spacing w:val="-3"/>
          <w:kern w:val="1"/>
          <w:sz w:val="22"/>
          <w:szCs w:val="22"/>
          <w:u w:color="0000FF"/>
          <w:lang w:val="en-US"/>
        </w:rPr>
        <w:t>firmanavn</w:t>
      </w:r>
      <w:r>
        <w:rPr>
          <w:rFonts w:ascii="Arial" w:hAnsi="Arial" w:cs="Arial"/>
          <w:spacing w:val="-3"/>
          <w:kern w:val="1"/>
          <w:sz w:val="22"/>
          <w:szCs w:val="22"/>
          <w:u w:color="0000FF"/>
          <w:lang w:val="en-US"/>
        </w:rPr>
        <w:t xml:space="preserve">, CVR nr. </w:t>
      </w:r>
      <w:r>
        <w:rPr>
          <w:rFonts w:ascii="Arial" w:hAnsi="Arial" w:cs="Arial"/>
          <w:sz w:val="22"/>
          <w:szCs w:val="22"/>
          <w:u w:color="0000FF"/>
          <w:lang w:val="en-US"/>
        </w:rPr>
        <w:t xml:space="preserve"> Xxxxx </w:t>
      </w:r>
      <w:r>
        <w:rPr>
          <w:rFonts w:ascii="Arial" w:hAnsi="Arial" w:cs="Arial"/>
          <w:spacing w:val="-3"/>
          <w:kern w:val="1"/>
          <w:sz w:val="22"/>
          <w:szCs w:val="22"/>
          <w:u w:color="0000FF"/>
          <w:lang w:val="en-US"/>
        </w:rPr>
        <w:t>(herefter benævnt Selskabet).</w:t>
      </w:r>
    </w:p>
    <w:p w:rsidR="001D50F2" w:rsidRDefault="001D50F2" w:rsidP="001D50F2">
      <w:pPr>
        <w:widowControl w:val="0"/>
        <w:tabs>
          <w:tab w:val="left" w:pos="0"/>
          <w:tab w:val="right" w:pos="567"/>
          <w:tab w:val="left" w:pos="4678"/>
        </w:tabs>
        <w:autoSpaceDE w:val="0"/>
        <w:autoSpaceDN w:val="0"/>
        <w:adjustRightInd w:val="0"/>
        <w:spacing w:after="140" w:line="360" w:lineRule="auto"/>
        <w:rPr>
          <w:rFonts w:ascii="Arial" w:hAnsi="Arial" w:cs="Arial"/>
          <w:spacing w:val="-3"/>
          <w:kern w:val="1"/>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parterne</w:t>
      </w:r>
    </w:p>
    <w:p w:rsidR="001D50F2" w:rsidRDefault="001D50F2" w:rsidP="001D50F2">
      <w:pPr>
        <w:widowControl w:val="0"/>
        <w:numPr>
          <w:ilvl w:val="0"/>
          <w:numId w:val="1"/>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1"/>
        </w:numPr>
        <w:tabs>
          <w:tab w:val="left" w:pos="20"/>
        </w:tabs>
        <w:autoSpaceDE w:val="0"/>
        <w:autoSpaceDN w:val="0"/>
        <w:adjustRightInd w:val="0"/>
        <w:spacing w:after="12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 Anparterne i Selskabet ejes af de 3 ovenfor nævnte anpartsselskaber. Som </w:t>
      </w:r>
      <w:r>
        <w:rPr>
          <w:rFonts w:ascii="Arial" w:hAnsi="Arial" w:cs="Arial"/>
          <w:sz w:val="22"/>
          <w:szCs w:val="22"/>
          <w:u w:color="0000FF"/>
          <w:lang w:val="en-US"/>
        </w:rPr>
        <w:lastRenderedPageBreak/>
        <w:t>anpartshavere i de respektive selskaber tiltræder xxx , denne ejeraftale på vegne af selskaberne.</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selskabets formål</w:t>
      </w:r>
    </w:p>
    <w:p w:rsidR="001D50F2" w:rsidRDefault="001D50F2" w:rsidP="001D50F2">
      <w:pPr>
        <w:widowControl w:val="0"/>
        <w:numPr>
          <w:ilvl w:val="0"/>
          <w:numId w:val="2"/>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 Selskabets formål er at drive og udvikle xxx</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kaptitalandele</w:t>
      </w:r>
    </w:p>
    <w:p w:rsidR="001D50F2" w:rsidRDefault="001D50F2" w:rsidP="001D50F2">
      <w:pPr>
        <w:widowControl w:val="0"/>
        <w:numPr>
          <w:ilvl w:val="0"/>
          <w:numId w:val="3"/>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3"/>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Selskabets anpartskapital udgør nominelt kr. 160.000, hvoraf </w:t>
      </w:r>
    </w:p>
    <w:p w:rsidR="001D50F2" w:rsidRDefault="001D50F2" w:rsidP="001D50F2">
      <w:pPr>
        <w:widowControl w:val="0"/>
        <w:numPr>
          <w:ilvl w:val="2"/>
          <w:numId w:val="4"/>
        </w:numPr>
        <w:tabs>
          <w:tab w:val="left" w:pos="709"/>
          <w:tab w:val="left" w:pos="1069"/>
          <w:tab w:val="left" w:pos="4820"/>
          <w:tab w:val="left" w:pos="6804"/>
          <w:tab w:val="left" w:pos="7797"/>
        </w:tabs>
        <w:autoSpaceDE w:val="0"/>
        <w:autoSpaceDN w:val="0"/>
        <w:adjustRightInd w:val="0"/>
        <w:spacing w:after="140" w:line="360" w:lineRule="auto"/>
        <w:ind w:left="1069" w:hanging="1069"/>
        <w:jc w:val="both"/>
        <w:rPr>
          <w:rFonts w:ascii="Arial" w:hAnsi="Arial" w:cs="Arial"/>
          <w:sz w:val="22"/>
          <w:szCs w:val="22"/>
          <w:u w:color="0000FF"/>
          <w:lang w:val="en-US"/>
        </w:rPr>
      </w:pPr>
      <w:r>
        <w:rPr>
          <w:rFonts w:ascii="Arial" w:hAnsi="Arial" w:cs="Arial"/>
          <w:sz w:val="22"/>
          <w:szCs w:val="22"/>
          <w:u w:color="0000FF"/>
          <w:lang w:val="en-US"/>
        </w:rPr>
        <w:t>Ejer 1 ApS</w:t>
      </w:r>
      <w:r>
        <w:rPr>
          <w:rFonts w:ascii="Arial" w:hAnsi="Arial" w:cs="Arial"/>
          <w:sz w:val="22"/>
          <w:szCs w:val="22"/>
          <w:u w:color="0000FF"/>
          <w:lang w:val="en-US"/>
        </w:rPr>
        <w:tab/>
        <w:t xml:space="preserve">ejer nom. kr. 40.000 (svarende til 25 %) </w:t>
      </w:r>
    </w:p>
    <w:p w:rsidR="001D50F2" w:rsidRDefault="001D50F2" w:rsidP="001D50F2">
      <w:pPr>
        <w:widowControl w:val="0"/>
        <w:numPr>
          <w:ilvl w:val="2"/>
          <w:numId w:val="4"/>
        </w:numPr>
        <w:tabs>
          <w:tab w:val="left" w:pos="709"/>
          <w:tab w:val="left" w:pos="1069"/>
          <w:tab w:val="left" w:pos="4820"/>
          <w:tab w:val="left" w:pos="6804"/>
          <w:tab w:val="left" w:pos="7797"/>
        </w:tabs>
        <w:autoSpaceDE w:val="0"/>
        <w:autoSpaceDN w:val="0"/>
        <w:adjustRightInd w:val="0"/>
        <w:spacing w:after="140" w:line="360" w:lineRule="auto"/>
        <w:ind w:left="1069" w:hanging="1069"/>
        <w:jc w:val="both"/>
        <w:rPr>
          <w:rFonts w:ascii="Arial" w:hAnsi="Arial" w:cs="Arial"/>
          <w:sz w:val="22"/>
          <w:szCs w:val="22"/>
          <w:u w:color="0000FF"/>
          <w:lang w:val="en-US"/>
        </w:rPr>
      </w:pPr>
      <w:r>
        <w:rPr>
          <w:rFonts w:ascii="Arial" w:hAnsi="Arial" w:cs="Arial"/>
          <w:spacing w:val="-3"/>
          <w:kern w:val="1"/>
          <w:sz w:val="22"/>
          <w:szCs w:val="22"/>
          <w:u w:color="0000FF"/>
          <w:lang w:val="en-US"/>
        </w:rPr>
        <w:t>Ejer 2 ApS</w:t>
      </w:r>
      <w:r>
        <w:rPr>
          <w:rFonts w:ascii="Arial" w:hAnsi="Arial" w:cs="Arial"/>
          <w:spacing w:val="-3"/>
          <w:kern w:val="1"/>
          <w:sz w:val="22"/>
          <w:szCs w:val="22"/>
          <w:u w:color="0000FF"/>
          <w:lang w:val="en-US"/>
        </w:rPr>
        <w:tab/>
      </w:r>
      <w:r>
        <w:rPr>
          <w:rFonts w:ascii="Arial" w:hAnsi="Arial" w:cs="Arial"/>
          <w:sz w:val="22"/>
          <w:szCs w:val="22"/>
          <w:u w:color="0000FF"/>
          <w:lang w:val="en-US"/>
        </w:rPr>
        <w:t>ejer nom. kr. 40.000 (svarende til 25 %)</w:t>
      </w:r>
    </w:p>
    <w:p w:rsidR="001D50F2" w:rsidRDefault="001D50F2" w:rsidP="001D50F2">
      <w:pPr>
        <w:widowControl w:val="0"/>
        <w:numPr>
          <w:ilvl w:val="2"/>
          <w:numId w:val="4"/>
        </w:numPr>
        <w:tabs>
          <w:tab w:val="left" w:pos="709"/>
          <w:tab w:val="left" w:pos="1069"/>
          <w:tab w:val="left" w:pos="4820"/>
          <w:tab w:val="left" w:pos="7797"/>
        </w:tabs>
        <w:autoSpaceDE w:val="0"/>
        <w:autoSpaceDN w:val="0"/>
        <w:adjustRightInd w:val="0"/>
        <w:spacing w:after="140" w:line="360" w:lineRule="auto"/>
        <w:ind w:left="1069" w:hanging="1069"/>
        <w:jc w:val="both"/>
        <w:rPr>
          <w:rFonts w:ascii="Arial" w:hAnsi="Arial" w:cs="Arial"/>
          <w:spacing w:val="-3"/>
          <w:kern w:val="1"/>
          <w:sz w:val="22"/>
          <w:szCs w:val="22"/>
          <w:u w:color="0000FF"/>
          <w:lang w:val="en-US"/>
        </w:rPr>
      </w:pPr>
      <w:r>
        <w:rPr>
          <w:rFonts w:ascii="Arial" w:hAnsi="Arial" w:cs="Arial"/>
          <w:spacing w:val="-3"/>
          <w:kern w:val="1"/>
          <w:sz w:val="22"/>
          <w:szCs w:val="22"/>
          <w:u w:color="0000FF"/>
          <w:lang w:val="en-US"/>
        </w:rPr>
        <w:t>Amino ApS</w:t>
      </w:r>
      <w:r>
        <w:rPr>
          <w:rFonts w:ascii="Arial" w:hAnsi="Arial" w:cs="Arial"/>
          <w:spacing w:val="-3"/>
          <w:kern w:val="1"/>
          <w:sz w:val="22"/>
          <w:szCs w:val="22"/>
          <w:u w:color="0000FF"/>
          <w:lang w:val="en-US"/>
        </w:rPr>
        <w:tab/>
        <w:t>ejer nom. kr. 80.000 (svarende til 50 %)</w:t>
      </w:r>
      <w:r>
        <w:rPr>
          <w:rFonts w:ascii="Arial" w:hAnsi="Arial" w:cs="Arial"/>
          <w:spacing w:val="-3"/>
          <w:kern w:val="1"/>
          <w:sz w:val="22"/>
          <w:szCs w:val="22"/>
          <w:u w:color="0000FF"/>
          <w:lang w:val="en-US"/>
        </w:rPr>
        <w:tab/>
      </w:r>
    </w:p>
    <w:p w:rsidR="001D50F2" w:rsidRDefault="001D50F2" w:rsidP="001D50F2">
      <w:pPr>
        <w:widowControl w:val="0"/>
        <w:numPr>
          <w:ilvl w:val="0"/>
          <w:numId w:val="5"/>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5"/>
        </w:numPr>
        <w:tabs>
          <w:tab w:val="left" w:pos="20"/>
        </w:tabs>
        <w:autoSpaceDE w:val="0"/>
        <w:autoSpaceDN w:val="0"/>
        <w:adjustRightInd w:val="0"/>
        <w:spacing w:after="140" w:line="360" w:lineRule="auto"/>
        <w:ind w:left="709" w:hanging="709"/>
        <w:jc w:val="both"/>
        <w:rPr>
          <w:rFonts w:ascii="Arial" w:hAnsi="Arial" w:cs="Arial"/>
          <w:spacing w:val="-3"/>
          <w:kern w:val="1"/>
          <w:sz w:val="22"/>
          <w:szCs w:val="22"/>
          <w:u w:color="0000FF"/>
          <w:lang w:val="en-US"/>
        </w:rPr>
      </w:pPr>
      <w:r>
        <w:rPr>
          <w:rFonts w:ascii="Arial" w:hAnsi="Arial" w:cs="Arial"/>
          <w:sz w:val="22"/>
          <w:szCs w:val="22"/>
          <w:u w:color="0000FF"/>
          <w:lang w:val="en-US"/>
        </w:rPr>
        <w:t>Ved fremtidig kapitalforhøjelse er parterne enige om, at de skal søge at bevare det nuværende indbyrdes ejerforhold.</w:t>
      </w:r>
    </w:p>
    <w:p w:rsidR="001D50F2" w:rsidRDefault="001D50F2" w:rsidP="001D50F2">
      <w:pPr>
        <w:widowControl w:val="0"/>
        <w:numPr>
          <w:ilvl w:val="1"/>
          <w:numId w:val="5"/>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Beslutning om kapitalforhøjelse kræver enighed mellem kapitalejerne, uanset om forhøjelsen sker ved gældskonvertering, apportindskud, kontant eller på anden vis.</w:t>
      </w:r>
    </w:p>
    <w:p w:rsidR="001D50F2" w:rsidRDefault="001D50F2" w:rsidP="001D50F2">
      <w:pPr>
        <w:widowControl w:val="0"/>
        <w:numPr>
          <w:ilvl w:val="1"/>
          <w:numId w:val="5"/>
        </w:numPr>
        <w:tabs>
          <w:tab w:val="left" w:pos="20"/>
        </w:tabs>
        <w:autoSpaceDE w:val="0"/>
        <w:autoSpaceDN w:val="0"/>
        <w:adjustRightInd w:val="0"/>
        <w:spacing w:after="140" w:line="360" w:lineRule="auto"/>
        <w:ind w:left="709" w:hanging="709"/>
        <w:jc w:val="both"/>
        <w:rPr>
          <w:rFonts w:ascii="Cambria" w:hAnsi="Cambria" w:cs="Cambria"/>
          <w:sz w:val="22"/>
          <w:szCs w:val="22"/>
          <w:u w:color="0000FF"/>
          <w:lang w:val="en-US"/>
        </w:rPr>
      </w:pPr>
      <w:r>
        <w:rPr>
          <w:rFonts w:ascii="Arial" w:hAnsi="Arial" w:cs="Arial"/>
          <w:sz w:val="22"/>
          <w:szCs w:val="22"/>
          <w:u w:color="0000FF"/>
          <w:lang w:val="en-US"/>
        </w:rPr>
        <w:t>Eventuelle nye kapitalandele i Selskabet erhvervet af eksisterende kapitalejer er automatisk omfattet af nærværende ejeraftale.</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VEDTÆGTER</w:t>
      </w:r>
    </w:p>
    <w:p w:rsidR="001D50F2" w:rsidRDefault="001D50F2" w:rsidP="001D50F2">
      <w:pPr>
        <w:widowControl w:val="0"/>
        <w:numPr>
          <w:ilvl w:val="0"/>
          <w:numId w:val="6"/>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6"/>
        </w:numPr>
        <w:tabs>
          <w:tab w:val="left" w:pos="20"/>
        </w:tabs>
        <w:autoSpaceDE w:val="0"/>
        <w:autoSpaceDN w:val="0"/>
        <w:adjustRightInd w:val="0"/>
        <w:spacing w:after="140" w:line="360" w:lineRule="auto"/>
        <w:ind w:left="709" w:hanging="709"/>
        <w:jc w:val="both"/>
        <w:rPr>
          <w:rFonts w:ascii="Arial" w:hAnsi="Arial" w:cs="Arial"/>
          <w:spacing w:val="-3"/>
          <w:kern w:val="1"/>
          <w:sz w:val="22"/>
          <w:szCs w:val="22"/>
          <w:u w:color="0000FF"/>
          <w:lang w:val="en-US"/>
        </w:rPr>
      </w:pPr>
      <w:r>
        <w:rPr>
          <w:rFonts w:ascii="Arial" w:hAnsi="Arial" w:cs="Arial"/>
          <w:sz w:val="22"/>
          <w:szCs w:val="22"/>
          <w:u w:color="0000FF"/>
          <w:lang w:val="en-US"/>
        </w:rPr>
        <w:t xml:space="preserve">Til grund for denne overenskomst ligger vedtægter, godkendt på generalforsamlingen dags dato vedhæftet denne ejeraftale som bilag. </w:t>
      </w:r>
    </w:p>
    <w:p w:rsidR="001D50F2" w:rsidRDefault="001D50F2" w:rsidP="001D50F2">
      <w:pPr>
        <w:widowControl w:val="0"/>
        <w:numPr>
          <w:ilvl w:val="1"/>
          <w:numId w:val="6"/>
        </w:numPr>
        <w:tabs>
          <w:tab w:val="left" w:pos="20"/>
        </w:tabs>
        <w:autoSpaceDE w:val="0"/>
        <w:autoSpaceDN w:val="0"/>
        <w:adjustRightInd w:val="0"/>
        <w:spacing w:after="140" w:line="360" w:lineRule="auto"/>
        <w:ind w:left="709" w:hanging="709"/>
        <w:jc w:val="both"/>
        <w:rPr>
          <w:rFonts w:ascii="Arial" w:hAnsi="Arial" w:cs="Arial"/>
          <w:spacing w:val="-3"/>
          <w:kern w:val="1"/>
          <w:sz w:val="22"/>
          <w:szCs w:val="22"/>
          <w:u w:color="0000FF"/>
          <w:lang w:val="en-US"/>
        </w:rPr>
      </w:pPr>
      <w:r>
        <w:rPr>
          <w:rFonts w:ascii="Arial" w:hAnsi="Arial" w:cs="Arial"/>
          <w:spacing w:val="-3"/>
          <w:kern w:val="1"/>
          <w:sz w:val="22"/>
          <w:szCs w:val="22"/>
          <w:u w:color="0000FF"/>
          <w:lang w:val="en-US"/>
        </w:rPr>
        <w:t>Kapitalejerne forpligter sig derfor til at afgive stemme på generalforsamlingerne i overensstemmelse med denne ejeraftale.</w:t>
      </w:r>
    </w:p>
    <w:p w:rsidR="001D50F2" w:rsidRDefault="001D50F2" w:rsidP="001D50F2">
      <w:pPr>
        <w:widowControl w:val="0"/>
        <w:numPr>
          <w:ilvl w:val="1"/>
          <w:numId w:val="6"/>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Ændring af selskabets vedtægter, bortset fra lovmæssige krav vedrørende vedtægternes indhold kræver, at den samlede kapital stemmer for vedtægtsændringen.</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bestyrelse</w:t>
      </w:r>
    </w:p>
    <w:p w:rsidR="001D50F2" w:rsidRDefault="001D50F2" w:rsidP="001D50F2">
      <w:pPr>
        <w:widowControl w:val="0"/>
        <w:numPr>
          <w:ilvl w:val="0"/>
          <w:numId w:val="7"/>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7"/>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Selskabet ledes af en bestyrelse bestående af 4 personer.</w:t>
      </w:r>
    </w:p>
    <w:p w:rsidR="001D50F2" w:rsidRDefault="001D50F2" w:rsidP="001D50F2">
      <w:pPr>
        <w:widowControl w:val="0"/>
        <w:numPr>
          <w:ilvl w:val="1"/>
          <w:numId w:val="7"/>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Ejer 1 udpeger ét medlem, </w:t>
      </w:r>
      <w:r>
        <w:rPr>
          <w:rFonts w:ascii="Arial" w:hAnsi="Arial" w:cs="Arial"/>
          <w:spacing w:val="-3"/>
          <w:kern w:val="1"/>
          <w:sz w:val="22"/>
          <w:szCs w:val="22"/>
          <w:u w:color="0000FF"/>
          <w:lang w:val="en-US"/>
        </w:rPr>
        <w:t>Ejer 2 ApS</w:t>
      </w:r>
      <w:r>
        <w:rPr>
          <w:rFonts w:ascii="Arial" w:hAnsi="Arial" w:cs="Arial"/>
          <w:sz w:val="22"/>
          <w:szCs w:val="22"/>
          <w:u w:color="0000FF"/>
          <w:lang w:val="en-US"/>
        </w:rPr>
        <w:t xml:space="preserve"> udpeger et medlem og Amino udpeger to bestyrelsesmedlemmer</w:t>
      </w:r>
    </w:p>
    <w:p w:rsidR="001D50F2" w:rsidRDefault="001D50F2" w:rsidP="001D50F2">
      <w:pPr>
        <w:widowControl w:val="0"/>
        <w:numPr>
          <w:ilvl w:val="1"/>
          <w:numId w:val="7"/>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Formanden udpeges af xxx</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numPr>
          <w:ilvl w:val="0"/>
          <w:numId w:val="8"/>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Bestyrelsens beslutninger træffes så vidt muligt i enighed, men ellers efter almindeligt flertal. I tilfælde af stemmelighed er formandens stemme udslagsgivende.</w:t>
      </w:r>
    </w:p>
    <w:p w:rsidR="001D50F2" w:rsidRDefault="001D50F2" w:rsidP="001D50F2">
      <w:pPr>
        <w:widowControl w:val="0"/>
        <w:numPr>
          <w:ilvl w:val="1"/>
          <w:numId w:val="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Til vedtagelse af væsentlige beslutninger kræves dog, at minimum 2/3 af bestyrelsen stemmer herfor. Som væsentlige beslutninger anses bl.a. følgende:</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Udvidelse og ændring af forretningsplan</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Radikale strategiskift, hvorved forstås ændringer i Selskabets formål</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Ændring af direktørens aflønning</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Ansættelse og afskedigelse af ledende medarbejdere</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Valg af selskabets revisor og advokat</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Enhver anskaffelse af driftsmidler, såfremt dette driftsmiddel eller flere samhørende driftsmidler har en værdi af mere end 20.000 kr.</w:t>
      </w:r>
    </w:p>
    <w:p w:rsidR="001D50F2" w:rsidRDefault="001D50F2" w:rsidP="001D50F2">
      <w:pPr>
        <w:widowControl w:val="0"/>
        <w:numPr>
          <w:ilvl w:val="1"/>
          <w:numId w:val="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Følgende punkter kan alene træffes af kapitalejerne og kræver at mindst 75 % målt på kapitalandele stemmer for:</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 xml:space="preserve">Ændring af selskabets vedtægter, bortset fra lovmæssige krav vedrørende vedtægternes indhold </w:t>
      </w:r>
    </w:p>
    <w:p w:rsidR="001D50F2" w:rsidRDefault="001D50F2" w:rsidP="001D50F2">
      <w:pPr>
        <w:widowControl w:val="0"/>
        <w:numPr>
          <w:ilvl w:val="2"/>
          <w:numId w:val="8"/>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Selskabets opløsning.</w:t>
      </w:r>
    </w:p>
    <w:p w:rsidR="001D50F2" w:rsidRDefault="001D50F2" w:rsidP="001D50F2">
      <w:pPr>
        <w:widowControl w:val="0"/>
        <w:tabs>
          <w:tab w:val="left" w:pos="1474"/>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numPr>
          <w:ilvl w:val="0"/>
          <w:numId w:val="9"/>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9"/>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Bestyrelsesmedlemmerne oppebærer, medmindre andet er særskilt aftalt, ikke vederlag for deres bestyrelsesarbejde. Aftale om, at en eller flere bestyrelsesmedlemmer skal modtage vederlag for sit arbejde træffes af bestyrelsen og kræver, at minimum 75% af kapitalejerne målt på kapitalandele stemmer herfor. </w:t>
      </w:r>
    </w:p>
    <w:p w:rsidR="001D50F2" w:rsidRDefault="001D50F2" w:rsidP="001D50F2">
      <w:pPr>
        <w:widowControl w:val="0"/>
        <w:tabs>
          <w:tab w:val="left" w:pos="1474"/>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2823"/>
        </w:tabs>
        <w:autoSpaceDE w:val="0"/>
        <w:autoSpaceDN w:val="0"/>
        <w:adjustRightInd w:val="0"/>
        <w:spacing w:after="140" w:line="360" w:lineRule="auto"/>
        <w:rPr>
          <w:rFonts w:ascii="Arial" w:hAnsi="Arial" w:cs="Arial"/>
          <w:b/>
          <w:bCs/>
          <w:sz w:val="22"/>
          <w:szCs w:val="22"/>
          <w:u w:color="0000FF"/>
          <w:lang w:val="en-US"/>
        </w:rPr>
      </w:pPr>
      <w:r>
        <w:rPr>
          <w:rFonts w:ascii="Arial" w:hAnsi="Arial" w:cs="Arial"/>
          <w:b/>
          <w:bCs/>
          <w:sz w:val="22"/>
          <w:szCs w:val="22"/>
          <w:u w:val="single" w:color="0000FF"/>
          <w:lang w:val="en-US"/>
        </w:rPr>
        <w:t>Direktion</w:t>
      </w:r>
      <w:r>
        <w:rPr>
          <w:rFonts w:ascii="Arial" w:hAnsi="Arial" w:cs="Arial"/>
          <w:b/>
          <w:bCs/>
          <w:sz w:val="22"/>
          <w:szCs w:val="22"/>
          <w:u w:color="0000FF"/>
          <w:lang w:val="en-US"/>
        </w:rPr>
        <w:tab/>
      </w:r>
    </w:p>
    <w:p w:rsidR="001D50F2" w:rsidRDefault="001D50F2" w:rsidP="001D50F2">
      <w:pPr>
        <w:widowControl w:val="0"/>
        <w:numPr>
          <w:ilvl w:val="0"/>
          <w:numId w:val="10"/>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10"/>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Selskabets daglige ledelse forestås af en direktion bestående af 1-3 direktører.</w:t>
      </w:r>
    </w:p>
    <w:p w:rsidR="001D50F2" w:rsidRDefault="001D50F2" w:rsidP="001D50F2">
      <w:pPr>
        <w:widowControl w:val="0"/>
        <w:numPr>
          <w:ilvl w:val="1"/>
          <w:numId w:val="10"/>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Som direktører i Selskabet er udpeget xxx og xxx, der anmeldes overfor Erhvervs- og Selskabsstyrelsen. </w:t>
      </w:r>
    </w:p>
    <w:p w:rsidR="001D50F2" w:rsidRDefault="001D50F2" w:rsidP="001D50F2">
      <w:pPr>
        <w:widowControl w:val="0"/>
        <w:numPr>
          <w:ilvl w:val="1"/>
          <w:numId w:val="10"/>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Der henvises herudover til direktørkontrakter, der vedlægges som bilag 9.3</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tegningsregel</w:t>
      </w:r>
    </w:p>
    <w:p w:rsidR="001D50F2" w:rsidRDefault="001D50F2" w:rsidP="001D50F2">
      <w:pPr>
        <w:widowControl w:val="0"/>
        <w:numPr>
          <w:ilvl w:val="0"/>
          <w:numId w:val="11"/>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11"/>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Selskabet tegnes af to bestyrelsesmedlemmer i forening, af en direktør og et bestyrelsesmedlem i forening (hvor direktør og bestyrelsesmedlem ikke er samme person) eller af den samlede bestyrelse. </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sygdom</w:t>
      </w:r>
    </w:p>
    <w:p w:rsidR="001D50F2" w:rsidRDefault="001D50F2" w:rsidP="001D50F2">
      <w:pPr>
        <w:widowControl w:val="0"/>
        <w:numPr>
          <w:ilvl w:val="0"/>
          <w:numId w:val="12"/>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12"/>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et medlem af bestyrelsen i 6 måneder i træk eller i 8 måneder over en periode af 12 måneder har været uarbejdsdygtig og ikke været i stand til at varetage sine opgaver for Selskabet som bestyrelsesmedlem, kan hver af de øvrige parter forlange, at den pågældende fratræder som bestyrelsesmedlem og udpeger en anden i sit sted.</w:t>
      </w:r>
    </w:p>
    <w:p w:rsidR="001D50F2" w:rsidRDefault="001D50F2" w:rsidP="001D50F2">
      <w:pPr>
        <w:widowControl w:val="0"/>
        <w:numPr>
          <w:ilvl w:val="1"/>
          <w:numId w:val="12"/>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Ingen af parterne kan tilpligtes at sælge sine kapitalandele som følge af sygdom.</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b/>
          <w:bCs/>
          <w:sz w:val="22"/>
          <w:szCs w:val="22"/>
          <w:u w:val="single" w:color="0000FF"/>
          <w:lang w:val="en-US"/>
        </w:rPr>
      </w:pPr>
      <w:r>
        <w:rPr>
          <w:rFonts w:ascii="Arial" w:hAnsi="Arial" w:cs="Arial"/>
          <w:b/>
          <w:bCs/>
          <w:sz w:val="22"/>
          <w:szCs w:val="22"/>
          <w:u w:val="single" w:color="0000FF"/>
          <w:lang w:val="en-US"/>
        </w:rPr>
        <w:t>OVERGANG AF KAPITALANDELE</w:t>
      </w:r>
    </w:p>
    <w:p w:rsidR="001D50F2" w:rsidRDefault="001D50F2" w:rsidP="001D50F2">
      <w:pPr>
        <w:widowControl w:val="0"/>
        <w:numPr>
          <w:ilvl w:val="0"/>
          <w:numId w:val="13"/>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13"/>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Ved enhver form for overgang af kapitalandele gælder de i pkt. 12 - 17 (begge inkl.) anførte regler.</w:t>
      </w:r>
    </w:p>
    <w:p w:rsidR="001D50F2" w:rsidRDefault="001D50F2" w:rsidP="001D50F2">
      <w:pPr>
        <w:widowControl w:val="0"/>
        <w:numPr>
          <w:ilvl w:val="1"/>
          <w:numId w:val="13"/>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Enhver overgang af kapitalandele er betinget af, at erhververen ved sin underskrift tiltræder rettigheder og forpligtigelser i henhold til nærværende ejeraftale. Selskabets ejerbog skal til stadighed have en klar og tydelig påtegning, der angiver, at der er indgået ejeraftale, og at der som følge heraf gælder indskrænkninger i kapitalandelene samt kapitalejernes rettigheder.</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Direkte eller indirekte overgang af majoriteten af anparter i </w:t>
      </w:r>
      <w:r>
        <w:rPr>
          <w:rFonts w:ascii="Arial" w:hAnsi="Arial" w:cs="Arial"/>
          <w:b/>
          <w:bCs/>
          <w:sz w:val="22"/>
          <w:szCs w:val="22"/>
          <w:u w:color="0000FF"/>
          <w:lang w:val="en-US"/>
        </w:rPr>
        <w:t>firmanavn</w:t>
      </w:r>
      <w:r>
        <w:rPr>
          <w:rFonts w:ascii="Arial" w:hAnsi="Arial" w:cs="Arial"/>
          <w:sz w:val="22"/>
          <w:szCs w:val="22"/>
          <w:u w:color="0000FF"/>
          <w:lang w:val="en-US"/>
        </w:rPr>
        <w:t xml:space="preserve"> og Amino ApS, sidestilles med overgang af anparter i Selskabet og skal således overholde reglerne herfor</w:t>
      </w:r>
    </w:p>
    <w:p w:rsidR="001D50F2" w:rsidRDefault="001D50F2" w:rsidP="001D50F2">
      <w:pPr>
        <w:widowControl w:val="0"/>
        <w:numPr>
          <w:ilvl w:val="0"/>
          <w:numId w:val="14"/>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r>
        <w:rPr>
          <w:rFonts w:ascii="Arial" w:hAnsi="Arial" w:cs="Arial"/>
          <w:sz w:val="22"/>
          <w:szCs w:val="22"/>
          <w:u w:color="0000FF"/>
          <w:lang w:val="en-US"/>
        </w:rPr>
        <w:t xml:space="preserve"> </w:t>
      </w:r>
    </w:p>
    <w:p w:rsidR="001D50F2" w:rsidRDefault="001D50F2" w:rsidP="001D50F2">
      <w:pPr>
        <w:widowControl w:val="0"/>
        <w:numPr>
          <w:ilvl w:val="1"/>
          <w:numId w:val="14"/>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 Ingen af parterne kan i en periode på 3 år fra tidspunktet for underskrift af nærværende ejeraftale afstå sine kapitalandele i Selskabet med undtagelse af pkt. 17, 18 og 21.</w:t>
      </w:r>
    </w:p>
    <w:p w:rsidR="001D50F2" w:rsidRDefault="001D50F2" w:rsidP="001D50F2">
      <w:pPr>
        <w:widowControl w:val="0"/>
        <w:numPr>
          <w:ilvl w:val="1"/>
          <w:numId w:val="14"/>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samtlige kapitalejere er enige om at sælge, kan salg dog ske inden for nævnte periode.</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numPr>
          <w:ilvl w:val="0"/>
          <w:numId w:val="15"/>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r>
        <w:rPr>
          <w:rFonts w:ascii="Arial" w:hAnsi="Arial" w:cs="Arial"/>
          <w:sz w:val="22"/>
          <w:szCs w:val="22"/>
          <w:u w:color="0000FF"/>
          <w:lang w:val="en-US"/>
        </w:rPr>
        <w:t xml:space="preserve"> </w:t>
      </w:r>
    </w:p>
    <w:p w:rsidR="001D50F2" w:rsidRDefault="001D50F2" w:rsidP="001D50F2">
      <w:pPr>
        <w:widowControl w:val="0"/>
        <w:numPr>
          <w:ilvl w:val="1"/>
          <w:numId w:val="15"/>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en af parterne efter udløbet af den i pkt. 13 angivne periode ønsker at afstå sine kapitalandele i Selskabet, skal denne skriftligt ved anbefalet brev samt e-mail tilbyde samtlige sine kapitalandele forholdsmæssigt til de andre kapitalejere. Kapitalandelene skal tilbydes til overtagelse med 2 måneders varsel til udgangen af en måned og til en kurs, som forinden tilbuddets afgivelse er opgjort i henhold til pkt. 15. Kursen fastsættes pr. dato for tilbuddets afgivelse.</w:t>
      </w:r>
    </w:p>
    <w:p w:rsidR="001D50F2" w:rsidRDefault="001D50F2" w:rsidP="001D50F2">
      <w:pPr>
        <w:widowControl w:val="0"/>
        <w:numPr>
          <w:ilvl w:val="1"/>
          <w:numId w:val="15"/>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De andre kapitalhavere skal skriftligt ved anbefalet brev samt e-mail senest 14 dage efter modtagelsen af tilbuddet meddele, om de vil udnytte forkøbsretten. Såfremt der ikke gives meddelelse inden fristens udløb betragtes dette som et afkald på udnyttelse af forkøbsretten.</w:t>
      </w:r>
    </w:p>
    <w:p w:rsidR="001D50F2" w:rsidRDefault="001D50F2" w:rsidP="001D50F2">
      <w:pPr>
        <w:widowControl w:val="0"/>
        <w:numPr>
          <w:ilvl w:val="1"/>
          <w:numId w:val="15"/>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en af kapitalejerne ikke ønsker at udnytte sin forkøbsret, er den anden/ de øvrige kapitalejer(e) berettiget til at udnytte forkøbsretten for den kapitalejer, der ikke udnytter forkøbsretten.</w:t>
      </w:r>
    </w:p>
    <w:p w:rsidR="001D50F2" w:rsidRDefault="001D50F2" w:rsidP="001D50F2">
      <w:pPr>
        <w:widowControl w:val="0"/>
        <w:numPr>
          <w:ilvl w:val="1"/>
          <w:numId w:val="15"/>
        </w:numPr>
        <w:tabs>
          <w:tab w:val="left" w:pos="20"/>
          <w:tab w:val="left" w:pos="72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Købesummen for kapitalandelene erlægges kontant og forfalder til betaling senest 14 dage efter, at den endelige kurs er fastsat. Såfremt købesummen ikke betales pr. forfaldsdagen, påløber rente i henhold til Renteloven.</w:t>
      </w:r>
    </w:p>
    <w:p w:rsidR="001D50F2" w:rsidRDefault="001D50F2" w:rsidP="001D50F2">
      <w:pPr>
        <w:widowControl w:val="0"/>
        <w:numPr>
          <w:ilvl w:val="1"/>
          <w:numId w:val="15"/>
        </w:numPr>
        <w:tabs>
          <w:tab w:val="left" w:pos="20"/>
          <w:tab w:val="left" w:pos="72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de tilbudte kapitalandele ikke ønskes overtaget af nogen af kapitalejerne, er den afstående kapitalejer berettiget til at sælge til tredjemand. Et sådant salg må dog alene ske til en pris, som ikke er lavere end den pris, til hvilken de forkøbsberettigede parter blev tilbudt kapitalandelene. Dokumentation for den af tredjemand tilbudte pris skal fremsendes til de forkøbsberettigede parter forinden endelig indgåelse af salg til tredjemand.</w:t>
      </w:r>
    </w:p>
    <w:p w:rsidR="001D50F2" w:rsidRDefault="001D50F2" w:rsidP="001D50F2">
      <w:pPr>
        <w:widowControl w:val="0"/>
        <w:tabs>
          <w:tab w:val="left" w:pos="0"/>
        </w:tabs>
        <w:autoSpaceDE w:val="0"/>
        <w:autoSpaceDN w:val="0"/>
        <w:adjustRightInd w:val="0"/>
        <w:spacing w:after="240" w:line="360" w:lineRule="auto"/>
        <w:ind w:left="709" w:hanging="709"/>
        <w:jc w:val="both"/>
        <w:rPr>
          <w:rFonts w:ascii="Arial" w:hAnsi="Arial" w:cs="Arial"/>
          <w:sz w:val="22"/>
          <w:szCs w:val="22"/>
          <w:u w:color="0000FF"/>
          <w:lang w:val="en-US"/>
        </w:rPr>
      </w:pPr>
    </w:p>
    <w:p w:rsidR="001D50F2" w:rsidRDefault="001D50F2" w:rsidP="001D50F2">
      <w:pPr>
        <w:widowControl w:val="0"/>
        <w:numPr>
          <w:ilvl w:val="0"/>
          <w:numId w:val="16"/>
        </w:numPr>
        <w:tabs>
          <w:tab w:val="left" w:pos="4253"/>
          <w:tab w:val="left" w:pos="4962"/>
          <w:tab w:val="left" w:pos="5040"/>
          <w:tab w:val="left" w:pos="5600"/>
          <w:tab w:val="left" w:pos="6160"/>
          <w:tab w:val="left" w:pos="6720"/>
        </w:tabs>
        <w:autoSpaceDE w:val="0"/>
        <w:autoSpaceDN w:val="0"/>
        <w:adjustRightInd w:val="0"/>
        <w:spacing w:after="240"/>
        <w:ind w:left="4962" w:hanging="4962"/>
        <w:jc w:val="center"/>
        <w:rPr>
          <w:rFonts w:ascii="Arial" w:hAnsi="Arial" w:cs="Arial"/>
          <w:sz w:val="22"/>
          <w:szCs w:val="22"/>
          <w:u w:color="0000FF"/>
          <w:lang w:val="en-US"/>
        </w:rPr>
      </w:pPr>
    </w:p>
    <w:p w:rsidR="001D50F2" w:rsidRDefault="001D50F2" w:rsidP="001D50F2">
      <w:pPr>
        <w:widowControl w:val="0"/>
        <w:numPr>
          <w:ilvl w:val="1"/>
          <w:numId w:val="16"/>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Kapitalandelenes kurs opgøres efter going-koncern princippet, jf. den indtil opgørelsestidspunktet sædvanlige regnskabspraksis for Selskabet. Opgørelse foretages af Selskabets revisor. Udgifterne til en revisors vurdering afholdes af Selskabet.</w:t>
      </w:r>
    </w:p>
    <w:p w:rsidR="001D50F2" w:rsidRDefault="001D50F2" w:rsidP="001D50F2">
      <w:pPr>
        <w:widowControl w:val="0"/>
        <w:numPr>
          <w:ilvl w:val="1"/>
          <w:numId w:val="16"/>
        </w:numPr>
        <w:tabs>
          <w:tab w:val="left" w:pos="20"/>
          <w:tab w:val="left" w:pos="72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Der medregnes goodwill ved opgørelsen af kapitalandelenes værdi. </w:t>
      </w:r>
    </w:p>
    <w:p w:rsidR="001D50F2" w:rsidRDefault="001D50F2" w:rsidP="001D50F2">
      <w:pPr>
        <w:widowControl w:val="0"/>
        <w:numPr>
          <w:ilvl w:val="1"/>
          <w:numId w:val="16"/>
        </w:numPr>
        <w:tabs>
          <w:tab w:val="left" w:pos="20"/>
          <w:tab w:val="left" w:pos="72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709" w:hanging="709"/>
        <w:jc w:val="both"/>
        <w:rPr>
          <w:rFonts w:ascii="Arial" w:hAnsi="Arial" w:cs="Arial"/>
          <w:spacing w:val="-3"/>
          <w:kern w:val="1"/>
          <w:sz w:val="22"/>
          <w:szCs w:val="22"/>
          <w:u w:color="0000FF"/>
          <w:lang w:val="en-US"/>
        </w:rPr>
      </w:pPr>
      <w:r>
        <w:rPr>
          <w:rFonts w:ascii="Arial" w:hAnsi="Arial" w:cs="Arial"/>
          <w:sz w:val="22"/>
          <w:szCs w:val="22"/>
          <w:u w:color="0000FF"/>
          <w:lang w:val="en-US"/>
        </w:rPr>
        <w:t xml:space="preserve">Når Selskabets revisor har meddelt parterne sin kursfastsættelse, kan hver af parterne inden 14 dage herefter indbringe kursfastsættelsen for en af Foreningen af Statsaut. Revisorer (FSR) udpeget statsautoriseret revisor. Den herved fremkomne vurdering er endelig og bindende for parterne og kan ikke danne grundlag for tvist. </w:t>
      </w:r>
    </w:p>
    <w:p w:rsidR="001D50F2" w:rsidRDefault="001D50F2" w:rsidP="001D50F2">
      <w:pPr>
        <w:widowControl w:val="0"/>
        <w:numPr>
          <w:ilvl w:val="1"/>
          <w:numId w:val="16"/>
        </w:numPr>
        <w:tabs>
          <w:tab w:val="left" w:pos="20"/>
          <w:tab w:val="left" w:pos="72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Hvis den i pkt. 15.3. nævnte værdiansættelse afviger mere end 10 % i forhold til den først fastsatte, udredes omkostningerne til den fornyede værdiansættelse som selskabsomkostninger og medtages som passiv i balancen. I modsat fald afholdes omkostningerne ved den fornyede værdifastsættelse af den rekvirerende part.</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Medsalgsret</w:t>
      </w:r>
    </w:p>
    <w:p w:rsidR="001D50F2" w:rsidRDefault="001D50F2" w:rsidP="001D50F2">
      <w:pPr>
        <w:widowControl w:val="0"/>
        <w:numPr>
          <w:ilvl w:val="0"/>
          <w:numId w:val="17"/>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val="single"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val="single" w:color="0000FF"/>
          <w:lang w:val="en-US"/>
        </w:rPr>
      </w:pPr>
      <w:r>
        <w:rPr>
          <w:rFonts w:ascii="Arial" w:hAnsi="Arial" w:cs="Arial"/>
          <w:sz w:val="22"/>
          <w:szCs w:val="22"/>
          <w:u w:color="0000FF"/>
          <w:lang w:val="en-US"/>
        </w:rPr>
        <w:t xml:space="preserve">Såfremt en kapitalejer (”Sælgende Part”) måtte ønske at sælge sine kapitalandele i Selskabet, uden at de øvrige kapitalejere ønsker at udnytte forkøbsretten, er den Sælgende Part forpligtet til ved påkrav fra én eller flere af de øvrige parter at betinge et salg af, at de øvrige parters kapitalandele medsælges til samme kurs (mindst pris jf. § 15) og på samme vilkår i øvrigt, som den Sælgende Part selv kan opnå. </w:t>
      </w:r>
    </w:p>
    <w:p w:rsidR="001D50F2" w:rsidRDefault="001D50F2" w:rsidP="001D50F2">
      <w:pPr>
        <w:widowControl w:val="0"/>
        <w:numPr>
          <w:ilvl w:val="1"/>
          <w:numId w:val="1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Den Sælgende Part skal straks give meddelelse herom til de øvrige parter (”Medsalgsretsmeddelelsen”). Medsalgsretsmeddelelsen skal indeholde oplysninger om tredjemands identitet samt om betingelserne og prisen i tredjemands tilbud. Såfremt én eller flere af de øvrige parter ønsker at udnytte deres ret i henhold til pkt. 16.1., skal den pågældende part give meddelelse herom til den Sælgende Part inden 4 uger efter at have modtaget Medsalgsretsmeddelelsen. Hvis ingen af de øvrige parter afgiver sådan meddelelse før udløbet af førnævnte frist, er ingen af de øvrige parter berettigede til at udnytte deres ret i henhold til pkt. 16.1.</w:t>
      </w:r>
    </w:p>
    <w:p w:rsidR="001D50F2" w:rsidRDefault="001D50F2" w:rsidP="001D50F2">
      <w:pPr>
        <w:widowControl w:val="0"/>
        <w:numPr>
          <w:ilvl w:val="1"/>
          <w:numId w:val="1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den Sælgende Parts overdragelse af kapitalandele til tredjemand af en hvilken som helst årsag ikke gennemføres alligevel, er den Sælgende Part ikke forpligtet i henhold til pkt. 16.1.</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b/>
          <w:bCs/>
          <w:sz w:val="22"/>
          <w:szCs w:val="22"/>
          <w:u w:color="0000FF"/>
          <w:lang w:val="en-US"/>
        </w:rPr>
      </w:pPr>
      <w:r>
        <w:rPr>
          <w:rFonts w:ascii="Arial" w:hAnsi="Arial" w:cs="Arial"/>
          <w:b/>
          <w:bCs/>
          <w:sz w:val="22"/>
          <w:szCs w:val="22"/>
          <w:u w:val="single" w:color="0000FF"/>
          <w:lang w:val="en-US"/>
        </w:rPr>
        <w:t>Medsalgspligt</w:t>
      </w:r>
    </w:p>
    <w:p w:rsidR="001D50F2" w:rsidRDefault="001D50F2" w:rsidP="001D50F2">
      <w:pPr>
        <w:widowControl w:val="0"/>
        <w:numPr>
          <w:ilvl w:val="1"/>
          <w:numId w:val="19"/>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Såfremt en eller flere kapitalejere (”Sælgende Part”) måtte ønske at sælge deres kapitalandele, uden at de øvrige parter ønsker at udnytte forkøbsretten, er de øvrige parter forpligtet til ved påkrav fra den Sælgende Part at medsælge deres kapitalandele til samme kurs (mindst pris jf. § 15) og på samme vilkår i øvrigt. </w:t>
      </w:r>
    </w:p>
    <w:p w:rsidR="001D50F2" w:rsidRDefault="001D50F2" w:rsidP="001D50F2">
      <w:pPr>
        <w:widowControl w:val="0"/>
        <w:numPr>
          <w:ilvl w:val="1"/>
          <w:numId w:val="19"/>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Den Sælgende Part skal straks give meddelelse herom til de øvrige Parter (”Medsalgspligtsmeddelelsen”). Medsalgspligtsmeddelelsen skal indeholde oplysninger om tredjemands identitet samt om betingelserne og prisen i tredjemands tilbud. Såfremt den Sælgende Part ønsker at udnytte sin ret i henhold til pkt. 16.3, skal den Sælgende Part give meddelelse herom til de øvrige Parter inden 4 uger efter at have afgivet Medsalgspligtsmeddelelsen. Hvis den Sælgende Part ikke afgiver en sådan meddelelse før udløbet af førnævnte frist, er denne ikke berettigede til at udnytte retten i henhold til pkt.16.4.</w:t>
      </w:r>
    </w:p>
    <w:p w:rsidR="001D50F2" w:rsidRDefault="001D50F2" w:rsidP="001D50F2">
      <w:pPr>
        <w:widowControl w:val="0"/>
        <w:numPr>
          <w:ilvl w:val="1"/>
          <w:numId w:val="19"/>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den Sælgende Parts overdragelse af kapitalandele til tredjemand af en hvilken som helst årsag ikke gennemføres alligevel, er de øvrige parter ikke forpligtet i henhold til pkt. 16.4.</w:t>
      </w:r>
    </w:p>
    <w:p w:rsidR="001D50F2" w:rsidRDefault="001D50F2" w:rsidP="001D50F2">
      <w:pPr>
        <w:widowControl w:val="0"/>
        <w:numPr>
          <w:ilvl w:val="1"/>
          <w:numId w:val="19"/>
        </w:numPr>
        <w:tabs>
          <w:tab w:val="left" w:pos="20"/>
        </w:tabs>
        <w:autoSpaceDE w:val="0"/>
        <w:autoSpaceDN w:val="0"/>
        <w:adjustRightInd w:val="0"/>
        <w:spacing w:after="140" w:line="360" w:lineRule="auto"/>
        <w:ind w:left="709" w:hanging="709"/>
        <w:jc w:val="both"/>
        <w:rPr>
          <w:rFonts w:ascii="Cambria" w:hAnsi="Cambria" w:cs="Cambria"/>
          <w:sz w:val="22"/>
          <w:szCs w:val="22"/>
          <w:u w:color="0000FF"/>
          <w:lang w:val="en-US"/>
        </w:rPr>
      </w:pPr>
      <w:r>
        <w:rPr>
          <w:rFonts w:ascii="Arial" w:hAnsi="Arial" w:cs="Arial"/>
          <w:sz w:val="22"/>
          <w:szCs w:val="22"/>
          <w:u w:color="0000FF"/>
          <w:lang w:val="en-US"/>
        </w:rPr>
        <w:t>Nærværende bestemmelser om medsalgsret og medsalgspligt ved overdragelse af kapitalandele omfatter tillige optioner til anparter, warrants, konvertible gældsbreve og andre instrumenter, som giver mulighed for opnåelse af anpartsbesiddelse i Selskabet.</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 xml:space="preserve"> dødsfald</w:t>
      </w:r>
    </w:p>
    <w:p w:rsidR="001D50F2" w:rsidRDefault="001D50F2" w:rsidP="001D50F2">
      <w:pPr>
        <w:widowControl w:val="0"/>
        <w:numPr>
          <w:ilvl w:val="0"/>
          <w:numId w:val="20"/>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0"/>
        </w:numPr>
        <w:tabs>
          <w:tab w:val="left" w:pos="20"/>
        </w:tabs>
        <w:autoSpaceDE w:val="0"/>
        <w:autoSpaceDN w:val="0"/>
        <w:adjustRightInd w:val="0"/>
        <w:spacing w:after="120"/>
        <w:ind w:left="709" w:hanging="709"/>
        <w:jc w:val="both"/>
        <w:rPr>
          <w:rFonts w:ascii="Arial" w:hAnsi="Arial" w:cs="Arial"/>
          <w:sz w:val="22"/>
          <w:szCs w:val="22"/>
          <w:u w:color="0000FF"/>
          <w:lang w:val="en-US"/>
        </w:rPr>
      </w:pPr>
      <w:r>
        <w:rPr>
          <w:rFonts w:ascii="Arial" w:hAnsi="Arial" w:cs="Arial"/>
          <w:sz w:val="22"/>
          <w:szCs w:val="22"/>
          <w:u w:color="0000FF"/>
          <w:lang w:val="en-US"/>
        </w:rPr>
        <w:t>Såfremt ejerskabet af parternes ApS’er ændrer sig væsentligt på grund af dødsfald i ejerkredsen betyder det ikke, at et evt. dødsbo/arvinger er forpligtet til at sælge kapitalandelene i Selskabet.</w:t>
      </w:r>
    </w:p>
    <w:p w:rsidR="001D50F2" w:rsidRDefault="001D50F2" w:rsidP="001D50F2">
      <w:pPr>
        <w:widowControl w:val="0"/>
        <w:numPr>
          <w:ilvl w:val="1"/>
          <w:numId w:val="20"/>
        </w:numPr>
        <w:tabs>
          <w:tab w:val="left" w:pos="20"/>
        </w:tabs>
        <w:autoSpaceDE w:val="0"/>
        <w:autoSpaceDN w:val="0"/>
        <w:adjustRightInd w:val="0"/>
        <w:spacing w:after="12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Hvis boet eller dets arvinger vælger at ville overdrage kapitalandelene, er de øvrige kapitalejere forpligtet til at købe kapitalandelene efter reglerne i pkt. 15. Boet eller dets arvinger kan kun vælge at sælge hele kapitalandelen og kun til de øvrige kapitalejere.</w:t>
      </w:r>
    </w:p>
    <w:p w:rsidR="001D50F2" w:rsidRDefault="001D50F2" w:rsidP="001D50F2">
      <w:pPr>
        <w:widowControl w:val="0"/>
        <w:numPr>
          <w:ilvl w:val="1"/>
          <w:numId w:val="20"/>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Ønsker boet eller detsarvinger at beholde kapitalandelen skal ejeraftalen tiltrædes i sin helhed. Boet eller detsarvinger accepterer ved sin tiltræden at indgå som silent partner i Selskabet, hvilket betyder, at boet eller dets arvinger herefter vil være uden indflydelse overhovedet</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konkurs m.v.</w:t>
      </w:r>
    </w:p>
    <w:p w:rsidR="001D50F2" w:rsidRDefault="001D50F2" w:rsidP="001D50F2">
      <w:pPr>
        <w:widowControl w:val="0"/>
        <w:numPr>
          <w:ilvl w:val="0"/>
          <w:numId w:val="21"/>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1"/>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en af parterne indleder rekonstruktionsbehandling eller erklæres konkurs skal den pågældende part tilbyde sine kapitalandele til den anden kapitalejere i overensstemmelse med pkt. 12 – 15 i det tilfælde, hvor rekonstruktionen eller konkursen vil være direkte skadelig for selskabets fortsatte drift.</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PANTSÆTNING / kaution m.m.</w:t>
      </w:r>
    </w:p>
    <w:p w:rsidR="001D50F2" w:rsidRDefault="001D50F2" w:rsidP="001D50F2">
      <w:pPr>
        <w:widowControl w:val="0"/>
        <w:numPr>
          <w:ilvl w:val="0"/>
          <w:numId w:val="22"/>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2"/>
        </w:numPr>
        <w:tabs>
          <w:tab w:val="left" w:pos="20"/>
        </w:tabs>
        <w:autoSpaceDE w:val="0"/>
        <w:autoSpaceDN w:val="0"/>
        <w:adjustRightInd w:val="0"/>
        <w:spacing w:after="140" w:line="360" w:lineRule="auto"/>
        <w:ind w:left="709" w:hanging="709"/>
        <w:jc w:val="both"/>
        <w:rPr>
          <w:rFonts w:ascii="Arial" w:hAnsi="Arial" w:cs="Arial"/>
          <w:spacing w:val="-3"/>
          <w:kern w:val="1"/>
          <w:sz w:val="22"/>
          <w:szCs w:val="22"/>
          <w:u w:color="0000FF"/>
          <w:lang w:val="en-US"/>
        </w:rPr>
      </w:pPr>
      <w:r>
        <w:rPr>
          <w:rFonts w:ascii="Arial" w:hAnsi="Arial" w:cs="Arial"/>
          <w:sz w:val="22"/>
          <w:szCs w:val="22"/>
          <w:u w:color="0000FF"/>
          <w:lang w:val="en-US"/>
        </w:rPr>
        <w:t>Stemmeretten over kapitalandelene kan ikke pantsættes eller på anden måde stilles til sikkerhed.</w:t>
      </w:r>
    </w:p>
    <w:p w:rsidR="001D50F2" w:rsidRDefault="001D50F2" w:rsidP="001D50F2">
      <w:pPr>
        <w:widowControl w:val="0"/>
        <w:numPr>
          <w:ilvl w:val="1"/>
          <w:numId w:val="22"/>
        </w:numPr>
        <w:tabs>
          <w:tab w:val="left" w:pos="20"/>
        </w:tabs>
        <w:autoSpaceDE w:val="0"/>
        <w:autoSpaceDN w:val="0"/>
        <w:adjustRightInd w:val="0"/>
        <w:spacing w:after="140" w:line="360" w:lineRule="auto"/>
        <w:ind w:left="709" w:hanging="709"/>
        <w:jc w:val="both"/>
        <w:rPr>
          <w:rFonts w:ascii="Arial" w:hAnsi="Arial" w:cs="Arial"/>
          <w:spacing w:val="-3"/>
          <w:kern w:val="1"/>
          <w:sz w:val="22"/>
          <w:szCs w:val="22"/>
          <w:u w:color="0000FF"/>
          <w:lang w:val="en-US"/>
        </w:rPr>
      </w:pPr>
      <w:r>
        <w:rPr>
          <w:rFonts w:ascii="Arial" w:hAnsi="Arial" w:cs="Arial"/>
          <w:spacing w:val="-3"/>
          <w:kern w:val="1"/>
          <w:sz w:val="22"/>
          <w:szCs w:val="22"/>
          <w:u w:color="0000FF"/>
          <w:lang w:val="en-US"/>
        </w:rPr>
        <w:t>Ingen af kapitalejerne er forpligtet eller berettiget til at påtage sig kaution eller stille sikkerhed for Selskabets gæld.</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Udbytte</w:t>
      </w:r>
    </w:p>
    <w:p w:rsidR="001D50F2" w:rsidRDefault="001D50F2" w:rsidP="001D50F2">
      <w:pPr>
        <w:widowControl w:val="0"/>
        <w:numPr>
          <w:ilvl w:val="0"/>
          <w:numId w:val="23"/>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3"/>
        </w:numPr>
        <w:tabs>
          <w:tab w:val="left" w:pos="142"/>
        </w:tabs>
        <w:autoSpaceDE w:val="0"/>
        <w:autoSpaceDN w:val="0"/>
        <w:adjustRightInd w:val="0"/>
        <w:spacing w:after="140" w:line="360" w:lineRule="auto"/>
        <w:ind w:left="851" w:hanging="851"/>
        <w:jc w:val="both"/>
        <w:rPr>
          <w:rFonts w:ascii="Arial" w:hAnsi="Arial" w:cs="Arial"/>
          <w:sz w:val="22"/>
          <w:szCs w:val="22"/>
          <w:u w:color="0000FF"/>
          <w:lang w:val="en-US"/>
        </w:rPr>
      </w:pPr>
      <w:r>
        <w:rPr>
          <w:rFonts w:ascii="Arial" w:hAnsi="Arial" w:cs="Arial"/>
          <w:sz w:val="22"/>
          <w:szCs w:val="22"/>
          <w:u w:color="0000FF"/>
          <w:lang w:val="en-US"/>
        </w:rPr>
        <w:t>Parterne er enige om, at Selskabet skal ledes i overensstemmelse med sunde forretningsprincipper. Udbyttepolitikken tilrettelægges under passende hensyntagen til Selskabets konsolidering og fortsatte drift.</w:t>
      </w:r>
    </w:p>
    <w:p w:rsidR="001D50F2" w:rsidRDefault="001D50F2" w:rsidP="001D50F2">
      <w:pPr>
        <w:widowControl w:val="0"/>
        <w:numPr>
          <w:ilvl w:val="1"/>
          <w:numId w:val="23"/>
        </w:numPr>
        <w:tabs>
          <w:tab w:val="left" w:pos="142"/>
        </w:tabs>
        <w:autoSpaceDE w:val="0"/>
        <w:autoSpaceDN w:val="0"/>
        <w:adjustRightInd w:val="0"/>
        <w:spacing w:after="140" w:line="360" w:lineRule="auto"/>
        <w:ind w:left="851" w:hanging="851"/>
        <w:jc w:val="both"/>
        <w:rPr>
          <w:rFonts w:ascii="Arial" w:hAnsi="Arial" w:cs="Arial"/>
          <w:sz w:val="22"/>
          <w:szCs w:val="22"/>
          <w:u w:color="0000FF"/>
          <w:lang w:val="en-US"/>
        </w:rPr>
      </w:pPr>
      <w:r>
        <w:rPr>
          <w:rFonts w:ascii="Arial" w:hAnsi="Arial" w:cs="Arial"/>
          <w:sz w:val="22"/>
          <w:szCs w:val="22"/>
          <w:u w:color="0000FF"/>
          <w:lang w:val="en-US"/>
        </w:rPr>
        <w:t>Hver af parterne kan kræve, at der udloddes udbytte, således at der alene bibeholdes en egenkapital svarende til den registrerede.selskabskapital med nødvendige og kendte hensættelser til tab, truende udgifter og aftalte kommende investeringer, jf. forretningsplanen vedtaget af bestyrelsen.</w:t>
      </w:r>
    </w:p>
    <w:p w:rsidR="001D50F2" w:rsidRDefault="001D50F2" w:rsidP="001D50F2">
      <w:pPr>
        <w:widowControl w:val="0"/>
        <w:numPr>
          <w:ilvl w:val="1"/>
          <w:numId w:val="23"/>
        </w:numPr>
        <w:tabs>
          <w:tab w:val="left" w:pos="142"/>
        </w:tabs>
        <w:autoSpaceDE w:val="0"/>
        <w:autoSpaceDN w:val="0"/>
        <w:adjustRightInd w:val="0"/>
        <w:spacing w:after="140" w:line="360" w:lineRule="auto"/>
        <w:ind w:left="851" w:hanging="851"/>
        <w:jc w:val="both"/>
        <w:rPr>
          <w:rFonts w:ascii="Arial" w:hAnsi="Arial" w:cs="Arial"/>
          <w:sz w:val="22"/>
          <w:szCs w:val="22"/>
          <w:u w:color="0000FF"/>
          <w:lang w:val="en-US"/>
        </w:rPr>
      </w:pPr>
      <w:r>
        <w:rPr>
          <w:rFonts w:ascii="Arial" w:hAnsi="Arial" w:cs="Arial"/>
          <w:sz w:val="22"/>
          <w:szCs w:val="22"/>
          <w:u w:color="0000FF"/>
          <w:lang w:val="en-US"/>
        </w:rPr>
        <w:t>Der er enighed mellem parterne om, at det er den enkelte kapitalejers kapitalandel på tidspunktet for regnskabsårets afslutning, der er afgørende for beregning af den enkelte kapitalejers udbytte det pågældende år.</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MISLIGHOLDELSE</w:t>
      </w:r>
    </w:p>
    <w:p w:rsidR="001D50F2" w:rsidRDefault="001D50F2" w:rsidP="001D50F2">
      <w:pPr>
        <w:widowControl w:val="0"/>
        <w:numPr>
          <w:ilvl w:val="0"/>
          <w:numId w:val="24"/>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4"/>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en part gør sig skyldig i væsentlig misligholdelse af sine forpligtelser, kan den/de krænkede part/parter kræve, at den pågældende omgående fratræder sin stilling og/eller bestyrelsespost samt afstår sine kapitalandele i overensstemmelse med de i pkt. 12 – 15 (begge inkl.) anførte regler.</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Hvorvidt der foreligger væsentlig misligholdelse henvises til dansk rets almindelig regler herom, men som eksempel kan nævnes væsentlig misligholdelse af direktørkontrakten herunder underslæb, bedrageri eller lign, samt gentagne og påtalte overskridelser af beføjelser jfr. direktørkontrakt, vedtægter og denne aftale. Spørgsmålet hvorvidt, der foreligger misligholdelse fra kapitalejerens side kan indbringes for domstolene, jf. pkt. 25.</w:t>
      </w:r>
    </w:p>
    <w:p w:rsidR="001D50F2" w:rsidRDefault="001D50F2" w:rsidP="001D50F2">
      <w:pPr>
        <w:widowControl w:val="0"/>
        <w:numPr>
          <w:ilvl w:val="1"/>
          <w:numId w:val="25"/>
        </w:numPr>
        <w:tabs>
          <w:tab w:val="left" w:pos="20"/>
        </w:tabs>
        <w:autoSpaceDE w:val="0"/>
        <w:autoSpaceDN w:val="0"/>
        <w:adjustRightInd w:val="0"/>
        <w:spacing w:after="140" w:line="360" w:lineRule="auto"/>
        <w:ind w:left="709" w:hanging="709"/>
        <w:jc w:val="both"/>
        <w:rPr>
          <w:rFonts w:ascii="Arial" w:hAnsi="Arial" w:cs="Arial"/>
          <w:spacing w:val="-3"/>
          <w:kern w:val="1"/>
          <w:sz w:val="22"/>
          <w:szCs w:val="22"/>
          <w:u w:color="0000FF"/>
          <w:lang w:val="en-US"/>
        </w:rPr>
      </w:pPr>
      <w:r>
        <w:rPr>
          <w:rFonts w:ascii="Arial" w:hAnsi="Arial" w:cs="Arial"/>
          <w:spacing w:val="-3"/>
          <w:kern w:val="1"/>
          <w:sz w:val="22"/>
          <w:szCs w:val="22"/>
          <w:u w:color="0000FF"/>
          <w:lang w:val="en-US"/>
        </w:rPr>
        <w:t>Krav herom skal fremsættes inden 14 dage efter, at en part er blevet bekendt med - eller burde være blevet bekendt med - de forhold, der begrunder misligholdelsen.</w:t>
      </w:r>
    </w:p>
    <w:p w:rsidR="001D50F2" w:rsidRDefault="001D50F2" w:rsidP="001D50F2">
      <w:pPr>
        <w:widowControl w:val="0"/>
        <w:numPr>
          <w:ilvl w:val="1"/>
          <w:numId w:val="25"/>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Kursværdien fastsættes på tidspunktet for misligholdelsens påberåbelse. Der beregnes ikke goodwill ved kursfastsættelsen.</w:t>
      </w:r>
    </w:p>
    <w:p w:rsidR="001D50F2" w:rsidRDefault="001D50F2" w:rsidP="001D50F2">
      <w:pPr>
        <w:widowControl w:val="0"/>
        <w:numPr>
          <w:ilvl w:val="1"/>
          <w:numId w:val="25"/>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Såfremt der opstår tvist mellem parterne som følge af nærværende pkt., da foretages en yderligere fastsættelse af kursværdien på tidspunktet for den endelige afgørelse af tvisten, og følgende gælder:</w:t>
      </w:r>
    </w:p>
    <w:p w:rsidR="001D50F2" w:rsidRDefault="001D50F2" w:rsidP="001D50F2">
      <w:pPr>
        <w:widowControl w:val="0"/>
        <w:numPr>
          <w:ilvl w:val="2"/>
          <w:numId w:val="25"/>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Såfremt tvisten falder ud til den misligholdendes fordel, således denne ikke kan anses for omfattet af denne paragraf, da er den misligholdende ikke forpligtet til at afstå sine kapitalandele. De andre kapitalejere er desuden forpligtede til at erstatte den misligholdende dennes eventuelle kursværditab, svarende til forskellen mellem kursværdien på misligholdelsestidspunktet og på tidspunktet for tvistens endelige afgørelse. Beløbet skal betales kontant og forfalder til betaling 14 dage efter sidstnævnte kursværdi foreligger.</w:t>
      </w:r>
    </w:p>
    <w:p w:rsidR="001D50F2" w:rsidRDefault="001D50F2" w:rsidP="001D50F2">
      <w:pPr>
        <w:widowControl w:val="0"/>
        <w:numPr>
          <w:ilvl w:val="2"/>
          <w:numId w:val="25"/>
        </w:numPr>
        <w:tabs>
          <w:tab w:val="left" w:pos="709"/>
          <w:tab w:val="left" w:pos="1474"/>
        </w:tabs>
        <w:autoSpaceDE w:val="0"/>
        <w:autoSpaceDN w:val="0"/>
        <w:adjustRightInd w:val="0"/>
        <w:spacing w:after="140" w:line="360" w:lineRule="auto"/>
        <w:ind w:left="1474" w:hanging="1474"/>
        <w:rPr>
          <w:rFonts w:ascii="Arial" w:hAnsi="Arial" w:cs="Arial"/>
          <w:sz w:val="22"/>
          <w:szCs w:val="22"/>
          <w:u w:color="0000FF"/>
          <w:lang w:val="en-US"/>
        </w:rPr>
      </w:pPr>
      <w:r>
        <w:rPr>
          <w:rFonts w:ascii="Arial" w:hAnsi="Arial" w:cs="Arial"/>
          <w:sz w:val="22"/>
          <w:szCs w:val="22"/>
          <w:u w:color="0000FF"/>
          <w:lang w:val="en-US"/>
        </w:rPr>
        <w:t>Såfremt tvisten falder ud til fordel for de andre kapitalejere, således at den misligholdende skal anses for omfattet af denne paragraf er den misligholdende forpligtet til at afstå sine kapitalandele. Købesummen fastsættes til den laveste kursværdi på enten tidspunktet for misligholdelse eller tidspunktet for tvistens endelige afgørelse. Beløbet skal betales kontant og forfalder til betaling 14 dage efter sidstnævnte kursværdi foreligger.</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Fortrolighed</w:t>
      </w:r>
    </w:p>
    <w:p w:rsidR="001D50F2" w:rsidRDefault="001D50F2" w:rsidP="001D50F2">
      <w:pPr>
        <w:widowControl w:val="0"/>
        <w:numPr>
          <w:ilvl w:val="0"/>
          <w:numId w:val="26"/>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6"/>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Alle oplysninger vedrørende Selskabet, mundtlige såvel som skriftlige, herunder dokumentmateriale, som en kapitalejer modtager, er fortrolige. Kapitalejerne har tavshedspligt herom.</w:t>
      </w:r>
    </w:p>
    <w:p w:rsidR="001D50F2" w:rsidRDefault="001D50F2" w:rsidP="001D50F2">
      <w:pPr>
        <w:widowControl w:val="0"/>
        <w:numPr>
          <w:ilvl w:val="1"/>
          <w:numId w:val="26"/>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Hver enkel kapitalejer er ansvarlig for, at det materiale, denne modtager, ikke kommer udenforstående i hænde.</w:t>
      </w:r>
    </w:p>
    <w:p w:rsidR="001D50F2" w:rsidRDefault="001D50F2" w:rsidP="001D50F2">
      <w:pPr>
        <w:widowControl w:val="0"/>
        <w:numPr>
          <w:ilvl w:val="1"/>
          <w:numId w:val="26"/>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Afhænder en kapitalejer sine kapitalandele, skal han til bestyrelsens formand tilbagelevere alt fortroligt materiale, han måtte være i besiddelse af, og som han har modtaget i sin egenskab af kapitalejer samt eventuelle genparter og fotokopier heraf.</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mellemværender mellem selskabet og kapitalejer</w:t>
      </w:r>
    </w:p>
    <w:p w:rsidR="001D50F2" w:rsidRDefault="001D50F2" w:rsidP="001D50F2">
      <w:pPr>
        <w:widowControl w:val="0"/>
        <w:numPr>
          <w:ilvl w:val="0"/>
          <w:numId w:val="27"/>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7"/>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Ethvert beløb, som en kapitalejer måtte blive Selskabet eller en medkapitalejer skyldigt eller omvendt, forrentes – for så vidt andet ikke er aftalt i enighed mellem samtlige kapitalejere – fra forfaldsdagen med den i renteloven fastsatte rentesats og på den i renteloven fastsatte måde.</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opsigelse og ændringer</w:t>
      </w:r>
    </w:p>
    <w:p w:rsidR="001D50F2" w:rsidRDefault="001D50F2" w:rsidP="001D50F2">
      <w:pPr>
        <w:widowControl w:val="0"/>
        <w:numPr>
          <w:ilvl w:val="0"/>
          <w:numId w:val="28"/>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Nærværende ejeraftale er uopsigelig.</w:t>
      </w:r>
    </w:p>
    <w:p w:rsidR="001D50F2" w:rsidRDefault="001D50F2" w:rsidP="001D50F2">
      <w:pPr>
        <w:widowControl w:val="0"/>
        <w:numPr>
          <w:ilvl w:val="1"/>
          <w:numId w:val="2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Eventuelle ændringer i ejeraftalen er alene gyldige, såfremt de sker som oprettet og underskrevet tillæg til ejeraftalen eller som ny ejeraftale. </w:t>
      </w:r>
    </w:p>
    <w:p w:rsidR="001D50F2" w:rsidRDefault="001D50F2" w:rsidP="001D50F2">
      <w:pPr>
        <w:widowControl w:val="0"/>
        <w:numPr>
          <w:ilvl w:val="1"/>
          <w:numId w:val="28"/>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 xml:space="preserve">Parterne er enige om at tage nærværende aftale op til drøftelse hvert år i forbindelse med parternes gennemgang og godkendelse af årsrapporten for Selskabet. Formålet med gennemgangen er at drøfte, hvorvidt aftalen bør justeres. Parterne har ikke ved nærværende aftale om gennemgang bundet sig til at foretage ændringer af aftalen. </w:t>
      </w:r>
    </w:p>
    <w:p w:rsidR="001D50F2" w:rsidRDefault="001D50F2" w:rsidP="001D50F2">
      <w:pPr>
        <w:widowControl w:val="0"/>
        <w:tabs>
          <w:tab w:val="left" w:pos="0"/>
        </w:tabs>
        <w:autoSpaceDE w:val="0"/>
        <w:autoSpaceDN w:val="0"/>
        <w:adjustRightInd w:val="0"/>
        <w:spacing w:after="140" w:line="360" w:lineRule="auto"/>
        <w:ind w:left="709" w:hanging="709"/>
        <w:jc w:val="both"/>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2"/>
          <w:szCs w:val="22"/>
          <w:u w:val="single" w:color="0000FF"/>
          <w:lang w:val="en-US"/>
        </w:rPr>
      </w:pPr>
      <w:r>
        <w:rPr>
          <w:rFonts w:ascii="Arial" w:hAnsi="Arial" w:cs="Arial"/>
          <w:b/>
          <w:bCs/>
          <w:sz w:val="22"/>
          <w:szCs w:val="22"/>
          <w:u w:val="single" w:color="0000FF"/>
          <w:lang w:val="en-US"/>
        </w:rPr>
        <w:t>TVIST</w:t>
      </w:r>
    </w:p>
    <w:p w:rsidR="001D50F2" w:rsidRDefault="001D50F2" w:rsidP="001D50F2">
      <w:pPr>
        <w:widowControl w:val="0"/>
        <w:numPr>
          <w:ilvl w:val="0"/>
          <w:numId w:val="29"/>
        </w:numPr>
        <w:tabs>
          <w:tab w:val="left" w:pos="4253"/>
          <w:tab w:val="left" w:pos="4962"/>
          <w:tab w:val="left" w:pos="5040"/>
          <w:tab w:val="left" w:pos="5600"/>
          <w:tab w:val="left" w:pos="6160"/>
          <w:tab w:val="left" w:pos="6720"/>
        </w:tabs>
        <w:autoSpaceDE w:val="0"/>
        <w:autoSpaceDN w:val="0"/>
        <w:adjustRightInd w:val="0"/>
        <w:spacing w:after="140" w:line="360" w:lineRule="auto"/>
        <w:ind w:left="4962" w:hanging="4962"/>
        <w:jc w:val="center"/>
        <w:rPr>
          <w:rFonts w:ascii="Arial" w:hAnsi="Arial" w:cs="Arial"/>
          <w:sz w:val="22"/>
          <w:szCs w:val="22"/>
          <w:u w:color="0000FF"/>
          <w:lang w:val="en-US"/>
        </w:rPr>
      </w:pPr>
    </w:p>
    <w:p w:rsidR="001D50F2" w:rsidRDefault="001D50F2" w:rsidP="001D50F2">
      <w:pPr>
        <w:widowControl w:val="0"/>
        <w:numPr>
          <w:ilvl w:val="1"/>
          <w:numId w:val="29"/>
        </w:numPr>
        <w:tabs>
          <w:tab w:val="left" w:pos="20"/>
        </w:tabs>
        <w:autoSpaceDE w:val="0"/>
        <w:autoSpaceDN w:val="0"/>
        <w:adjustRightInd w:val="0"/>
        <w:spacing w:after="140" w:line="360" w:lineRule="auto"/>
        <w:ind w:left="709" w:hanging="709"/>
        <w:jc w:val="both"/>
        <w:rPr>
          <w:rFonts w:ascii="Arial" w:hAnsi="Arial" w:cs="Arial"/>
          <w:sz w:val="22"/>
          <w:szCs w:val="22"/>
          <w:u w:color="0000FF"/>
          <w:lang w:val="en-US"/>
        </w:rPr>
      </w:pPr>
      <w:r>
        <w:rPr>
          <w:rFonts w:ascii="Arial" w:hAnsi="Arial" w:cs="Arial"/>
          <w:sz w:val="22"/>
          <w:szCs w:val="22"/>
          <w:u w:color="0000FF"/>
          <w:lang w:val="en-US"/>
        </w:rPr>
        <w:t>Enhver tvist mellem Parterne og deres eventuelle boer vedrørende indgåelsen, forståelsen eller gennemførelsen af nærværende ejeraftale afgøres efter dansk ret med Byretten i København som rette værneting i første instans.</w:t>
      </w:r>
    </w:p>
    <w:p w:rsidR="001D50F2" w:rsidRDefault="001D50F2" w:rsidP="001D50F2">
      <w:pPr>
        <w:widowControl w:val="0"/>
        <w:tabs>
          <w:tab w:val="left" w:pos="2325"/>
        </w:tabs>
        <w:autoSpaceDE w:val="0"/>
        <w:autoSpaceDN w:val="0"/>
        <w:adjustRightInd w:val="0"/>
        <w:spacing w:after="140" w:line="360" w:lineRule="auto"/>
        <w:ind w:left="2325" w:hanging="851"/>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4678"/>
        </w:tabs>
        <w:autoSpaceDE w:val="0"/>
        <w:autoSpaceDN w:val="0"/>
        <w:adjustRightInd w:val="0"/>
        <w:spacing w:after="140" w:line="360" w:lineRule="auto"/>
        <w:rPr>
          <w:rFonts w:ascii="Arial" w:hAnsi="Arial" w:cs="Arial"/>
          <w:b/>
          <w:bCs/>
          <w:sz w:val="22"/>
          <w:szCs w:val="22"/>
          <w:u w:color="0000FF"/>
          <w:lang w:val="en-US"/>
        </w:rPr>
      </w:pPr>
      <w:r>
        <w:rPr>
          <w:rFonts w:ascii="Arial" w:hAnsi="Arial" w:cs="Arial"/>
          <w:b/>
          <w:bCs/>
          <w:sz w:val="22"/>
          <w:szCs w:val="22"/>
          <w:u w:color="0000FF"/>
          <w:lang w:val="en-US"/>
        </w:rPr>
        <w:t xml:space="preserve">For </w:t>
      </w:r>
      <w:r>
        <w:rPr>
          <w:rFonts w:ascii="Arial" w:hAnsi="Arial" w:cs="Arial"/>
          <w:sz w:val="22"/>
          <w:szCs w:val="22"/>
          <w:u w:color="0000FF"/>
          <w:lang w:val="en-US"/>
        </w:rPr>
        <w:t>Ejer 1 ApS</w:t>
      </w:r>
      <w:r>
        <w:rPr>
          <w:rFonts w:ascii="Arial" w:hAnsi="Arial" w:cs="Arial"/>
          <w:b/>
          <w:bCs/>
          <w:sz w:val="22"/>
          <w:szCs w:val="22"/>
          <w:u w:color="0000FF"/>
          <w:lang w:val="en-US"/>
        </w:rPr>
        <w:t xml:space="preserve"> ApS:</w:t>
      </w:r>
      <w:r>
        <w:rPr>
          <w:rFonts w:ascii="Arial" w:hAnsi="Arial" w:cs="Arial"/>
          <w:b/>
          <w:bCs/>
          <w:sz w:val="22"/>
          <w:szCs w:val="22"/>
          <w:u w:color="0000FF"/>
          <w:lang w:val="en-US"/>
        </w:rPr>
        <w:tab/>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 xml:space="preserve"> Den          /          2012 </w:t>
      </w: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_________________________________</w:t>
      </w:r>
      <w:r>
        <w:rPr>
          <w:rFonts w:ascii="Arial" w:hAnsi="Arial" w:cs="Arial"/>
          <w:sz w:val="22"/>
          <w:szCs w:val="22"/>
          <w:u w:color="0000FF"/>
          <w:lang w:val="en-US"/>
        </w:rPr>
        <w:tab/>
      </w: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ab/>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r>
        <w:rPr>
          <w:rFonts w:ascii="Arial" w:hAnsi="Arial" w:cs="Arial"/>
          <w:spacing w:val="-3"/>
          <w:kern w:val="1"/>
          <w:sz w:val="22"/>
          <w:szCs w:val="22"/>
          <w:u w:color="0000FF"/>
          <w:lang w:val="en-US"/>
        </w:rPr>
        <w:t>For Ejer 2 ApS</w:t>
      </w:r>
      <w:r>
        <w:rPr>
          <w:rFonts w:ascii="Arial" w:hAnsi="Arial" w:cs="Arial"/>
          <w:sz w:val="22"/>
          <w:szCs w:val="22"/>
          <w:u w:color="0000FF"/>
          <w:lang w:val="en-US"/>
        </w:rPr>
        <w:t xml:space="preserve"> </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Den          /          2012</w:t>
      </w: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_________________________________</w:t>
      </w:r>
      <w:r>
        <w:rPr>
          <w:rFonts w:ascii="Arial" w:hAnsi="Arial" w:cs="Arial"/>
          <w:sz w:val="22"/>
          <w:szCs w:val="22"/>
          <w:u w:color="0000FF"/>
          <w:lang w:val="en-US"/>
        </w:rPr>
        <w:tab/>
      </w:r>
    </w:p>
    <w:p w:rsidR="00CA090F" w:rsidRDefault="00CA090F"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pacing w:val="-3"/>
          <w:kern w:val="1"/>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bookmarkStart w:id="0" w:name="_GoBack"/>
      <w:bookmarkEnd w:id="0"/>
      <w:r>
        <w:rPr>
          <w:rFonts w:ascii="Arial" w:hAnsi="Arial" w:cs="Arial"/>
          <w:spacing w:val="-3"/>
          <w:kern w:val="1"/>
          <w:sz w:val="22"/>
          <w:szCs w:val="22"/>
          <w:u w:color="0000FF"/>
          <w:lang w:val="en-US"/>
        </w:rPr>
        <w:t xml:space="preserve">For Ejer </w:t>
      </w:r>
      <w:r w:rsidR="00CA090F">
        <w:rPr>
          <w:rFonts w:ascii="Arial" w:hAnsi="Arial" w:cs="Arial"/>
          <w:spacing w:val="-3"/>
          <w:kern w:val="1"/>
          <w:sz w:val="22"/>
          <w:szCs w:val="22"/>
          <w:u w:color="0000FF"/>
          <w:lang w:val="en-US"/>
        </w:rPr>
        <w:t>3</w:t>
      </w:r>
      <w:r>
        <w:rPr>
          <w:rFonts w:ascii="Arial" w:hAnsi="Arial" w:cs="Arial"/>
          <w:spacing w:val="-3"/>
          <w:kern w:val="1"/>
          <w:sz w:val="22"/>
          <w:szCs w:val="22"/>
          <w:u w:color="0000FF"/>
          <w:lang w:val="en-US"/>
        </w:rPr>
        <w:t xml:space="preserve"> ApS</w:t>
      </w:r>
      <w:r>
        <w:rPr>
          <w:rFonts w:ascii="Arial" w:hAnsi="Arial" w:cs="Arial"/>
          <w:sz w:val="22"/>
          <w:szCs w:val="22"/>
          <w:u w:color="0000FF"/>
          <w:lang w:val="en-US"/>
        </w:rPr>
        <w:t xml:space="preserve"> </w:t>
      </w: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Den          /          2012</w:t>
      </w: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_________________________________</w:t>
      </w:r>
      <w:r>
        <w:rPr>
          <w:rFonts w:ascii="Arial" w:hAnsi="Arial" w:cs="Arial"/>
          <w:sz w:val="22"/>
          <w:szCs w:val="22"/>
          <w:u w:color="0000FF"/>
          <w:lang w:val="en-US"/>
        </w:rPr>
        <w:tab/>
      </w:r>
    </w:p>
    <w:p w:rsidR="001D50F2" w:rsidRDefault="001D50F2" w:rsidP="001D50F2">
      <w:pPr>
        <w:widowControl w:val="0"/>
        <w:tabs>
          <w:tab w:val="left" w:pos="4678"/>
        </w:tabs>
        <w:autoSpaceDE w:val="0"/>
        <w:autoSpaceDN w:val="0"/>
        <w:adjustRightInd w:val="0"/>
        <w:spacing w:after="140" w:line="360" w:lineRule="auto"/>
        <w:rPr>
          <w:rFonts w:ascii="Arial" w:hAnsi="Arial" w:cs="Arial"/>
          <w:sz w:val="22"/>
          <w:szCs w:val="22"/>
          <w:u w:color="0000FF"/>
          <w:lang w:val="en-US"/>
        </w:rPr>
      </w:pPr>
      <w:r>
        <w:rPr>
          <w:rFonts w:ascii="Arial" w:hAnsi="Arial" w:cs="Arial"/>
          <w:sz w:val="22"/>
          <w:szCs w:val="22"/>
          <w:u w:color="0000FF"/>
          <w:lang w:val="en-US"/>
        </w:rPr>
        <w:tab/>
      </w:r>
    </w:p>
    <w:p w:rsidR="008659DC" w:rsidRDefault="008659DC"/>
    <w:sectPr w:rsidR="008659DC" w:rsidSect="001D50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000007D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0000083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0000089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decimal"/>
      <w:lvlText w:val="%1."/>
      <w:lvlJc w:val="left"/>
      <w:pPr>
        <w:ind w:left="720" w:hanging="360"/>
      </w:pPr>
    </w:lvl>
    <w:lvl w:ilvl="1" w:tplc="00000962">
      <w:start w:val="1"/>
      <w:numFmt w:val="decimal"/>
      <w:lvlText w:val="%2."/>
      <w:lvlJc w:val="left"/>
      <w:pPr>
        <w:ind w:left="1440" w:hanging="360"/>
      </w:pPr>
    </w:lvl>
    <w:lvl w:ilvl="2" w:tplc="0000096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000009C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decimal"/>
      <w:lvlText w:val="%1."/>
      <w:lvlJc w:val="left"/>
      <w:pPr>
        <w:ind w:left="720" w:hanging="360"/>
      </w:pPr>
    </w:lvl>
    <w:lvl w:ilvl="1" w:tplc="00000A2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decimal"/>
      <w:lvlText w:val="%1."/>
      <w:lvlJc w:val="left"/>
      <w:pPr>
        <w:ind w:left="720" w:hanging="360"/>
      </w:pPr>
    </w:lvl>
    <w:lvl w:ilvl="1" w:tplc="00000A8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decimal"/>
      <w:lvlText w:val="%1."/>
      <w:lvlJc w:val="left"/>
      <w:pPr>
        <w:ind w:left="720" w:hanging="360"/>
      </w:pPr>
    </w:lvl>
    <w:lvl w:ilvl="1" w:tplc="00000AF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F2"/>
    <w:rsid w:val="001D50F2"/>
    <w:rsid w:val="008659DC"/>
    <w:rsid w:val="00CA090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79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2444</Words>
  <Characters>13935</Characters>
  <Application>Microsoft Macintosh Word</Application>
  <DocSecurity>0</DocSecurity>
  <Lines>116</Lines>
  <Paragraphs>32</Paragraphs>
  <ScaleCrop>false</ScaleCrop>
  <Company>Cloud1</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Thorborg</dc:creator>
  <cp:keywords/>
  <dc:description/>
  <cp:lastModifiedBy>Martin Thorborg</cp:lastModifiedBy>
  <cp:revision>1</cp:revision>
  <dcterms:created xsi:type="dcterms:W3CDTF">2013-01-14T13:41:00Z</dcterms:created>
  <dcterms:modified xsi:type="dcterms:W3CDTF">2013-01-14T13:52:00Z</dcterms:modified>
</cp:coreProperties>
</file>