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BD8" w:rsidRDefault="00AB6DF7" w:rsidP="00AB6DF7">
      <w:pPr>
        <w:pStyle w:val="Titel"/>
        <w:jc w:val="center"/>
      </w:pPr>
      <w:r>
        <w:t>Knud Romer og det selvbiografiske</w:t>
      </w:r>
    </w:p>
    <w:p w:rsidR="00AB6DF7" w:rsidRPr="00FF7C5D" w:rsidRDefault="006D3565" w:rsidP="0068575D">
      <w:pPr>
        <w:pStyle w:val="Undertitel"/>
        <w:spacing w:line="360" w:lineRule="auto"/>
        <w:rPr>
          <w:rFonts w:ascii="Arial" w:hAnsi="Arial" w:cs="Arial"/>
        </w:rPr>
      </w:pPr>
      <w:r w:rsidRPr="00FF7C5D">
        <w:rPr>
          <w:rFonts w:ascii="Arial" w:hAnsi="Arial" w:cs="Arial"/>
        </w:rPr>
        <w:t>Et erindrin</w:t>
      </w:r>
      <w:r w:rsidR="00E0454E" w:rsidRPr="00FF7C5D">
        <w:rPr>
          <w:rFonts w:ascii="Arial" w:hAnsi="Arial" w:cs="Arial"/>
        </w:rPr>
        <w:t>gsbillede om hvorvidt barndommen skal bestå af frygt for omverdenen, ensomheden i familien eller mobningen blandt ”vennerne”, er hvad uddraget fra Knud Romers bog ”Den som blinker er bange for døden</w:t>
      </w:r>
      <w:r w:rsidR="00E0454E" w:rsidRPr="00FF7C5D">
        <w:rPr>
          <w:rStyle w:val="Fodnotehenvisning"/>
          <w:rFonts w:ascii="Arial" w:hAnsi="Arial" w:cs="Arial"/>
        </w:rPr>
        <w:footnoteReference w:id="1"/>
      </w:r>
      <w:r w:rsidR="00E0454E" w:rsidRPr="00FF7C5D">
        <w:rPr>
          <w:rFonts w:ascii="Arial" w:hAnsi="Arial" w:cs="Arial"/>
        </w:rPr>
        <w:t>” er. Et spændende og gribende uddrag</w:t>
      </w:r>
      <w:r w:rsidR="00FF7C5D" w:rsidRPr="00FF7C5D">
        <w:rPr>
          <w:rFonts w:ascii="Arial" w:hAnsi="Arial" w:cs="Arial"/>
        </w:rPr>
        <w:t>,</w:t>
      </w:r>
      <w:r w:rsidR="00E0454E" w:rsidRPr="00FF7C5D">
        <w:rPr>
          <w:rFonts w:ascii="Arial" w:hAnsi="Arial" w:cs="Arial"/>
        </w:rPr>
        <w:t xml:space="preserve"> der får en til at </w:t>
      </w:r>
      <w:r w:rsidR="00FF7C5D" w:rsidRPr="00FF7C5D">
        <w:rPr>
          <w:rFonts w:ascii="Arial" w:hAnsi="Arial" w:cs="Arial"/>
        </w:rPr>
        <w:t>tænke, om det i realiteten kan have været så barsk</w:t>
      </w:r>
      <w:r w:rsidR="006A11B4">
        <w:rPr>
          <w:rFonts w:ascii="Arial" w:hAnsi="Arial" w:cs="Arial"/>
        </w:rPr>
        <w:t>,</w:t>
      </w:r>
      <w:r w:rsidR="00FF7C5D" w:rsidRPr="00FF7C5D">
        <w:rPr>
          <w:rFonts w:ascii="Arial" w:hAnsi="Arial" w:cs="Arial"/>
        </w:rPr>
        <w:t xml:space="preserve"> at opvokse i</w:t>
      </w:r>
      <w:r w:rsidR="00F51598">
        <w:rPr>
          <w:rFonts w:ascii="Arial" w:hAnsi="Arial" w:cs="Arial"/>
        </w:rPr>
        <w:t xml:space="preserve"> et</w:t>
      </w:r>
      <w:r w:rsidR="00FF7C5D" w:rsidRPr="00FF7C5D">
        <w:rPr>
          <w:rFonts w:ascii="Arial" w:hAnsi="Arial" w:cs="Arial"/>
        </w:rPr>
        <w:t xml:space="preserve"> lille lokalsamfund</w:t>
      </w:r>
      <w:r w:rsidR="00F51598">
        <w:rPr>
          <w:rFonts w:ascii="Arial" w:hAnsi="Arial" w:cs="Arial"/>
        </w:rPr>
        <w:t xml:space="preserve"> som</w:t>
      </w:r>
      <w:r w:rsidR="00FF7C5D" w:rsidRPr="00FF7C5D">
        <w:rPr>
          <w:rFonts w:ascii="Arial" w:hAnsi="Arial" w:cs="Arial"/>
        </w:rPr>
        <w:t xml:space="preserve"> Nykøbing Falster.</w:t>
      </w:r>
      <w:r w:rsidR="006A11B4">
        <w:rPr>
          <w:rFonts w:ascii="Arial" w:hAnsi="Arial" w:cs="Arial"/>
        </w:rPr>
        <w:t xml:space="preserve"> Opgaven vil tage udgangspunkt i en analyse samt fortolkning af uddraget, som skal lægge op til en diskussion om, hvorvidt det selvbiografiske anvendes i ny dansk litteratur.</w:t>
      </w:r>
    </w:p>
    <w:p w:rsidR="004F571D" w:rsidRDefault="00FF7C5D" w:rsidP="0068575D">
      <w:pPr>
        <w:spacing w:line="360" w:lineRule="auto"/>
        <w:rPr>
          <w:rFonts w:ascii="Arial" w:hAnsi="Arial" w:cs="Arial"/>
          <w:sz w:val="24"/>
        </w:rPr>
      </w:pPr>
      <w:r>
        <w:rPr>
          <w:rFonts w:ascii="Arial" w:hAnsi="Arial" w:cs="Arial"/>
          <w:sz w:val="24"/>
        </w:rPr>
        <w:t>Uddraget fra ”Den som blinker er bange for døden” handler om enebarnet Knuds forkælede, men stadig tra</w:t>
      </w:r>
      <w:r w:rsidR="00A62F12">
        <w:rPr>
          <w:rFonts w:ascii="Arial" w:hAnsi="Arial" w:cs="Arial"/>
          <w:sz w:val="24"/>
        </w:rPr>
        <w:t xml:space="preserve">giske opvækst. Faren </w:t>
      </w:r>
      <w:r w:rsidR="00EB5E4E">
        <w:rPr>
          <w:rFonts w:ascii="Arial" w:hAnsi="Arial" w:cs="Arial"/>
          <w:sz w:val="24"/>
        </w:rPr>
        <w:t>har</w:t>
      </w:r>
      <w:r w:rsidR="00A62F12">
        <w:rPr>
          <w:rFonts w:ascii="Arial" w:hAnsi="Arial" w:cs="Arial"/>
          <w:sz w:val="24"/>
        </w:rPr>
        <w:t xml:space="preserve"> giftet sig med en tysk ung kvinde</w:t>
      </w:r>
      <w:r w:rsidR="004F571D">
        <w:rPr>
          <w:rFonts w:ascii="Arial" w:hAnsi="Arial" w:cs="Arial"/>
          <w:sz w:val="24"/>
        </w:rPr>
        <w:t>,</w:t>
      </w:r>
      <w:r w:rsidR="00A62F12">
        <w:rPr>
          <w:rFonts w:ascii="Arial" w:hAnsi="Arial" w:cs="Arial"/>
          <w:sz w:val="24"/>
        </w:rPr>
        <w:t xml:space="preserve"> som selv havde oplevet krigen, hvilket havde gjort hendes vilje hård som stål og kold som is</w:t>
      </w:r>
      <w:r w:rsidR="00EB639F">
        <w:rPr>
          <w:rStyle w:val="Fodnotehenvisning"/>
          <w:rFonts w:ascii="Arial" w:hAnsi="Arial" w:cs="Arial"/>
          <w:sz w:val="24"/>
        </w:rPr>
        <w:footnoteReference w:id="2"/>
      </w:r>
      <w:r w:rsidR="004F571D">
        <w:rPr>
          <w:rFonts w:ascii="Arial" w:hAnsi="Arial" w:cs="Arial"/>
          <w:sz w:val="24"/>
        </w:rPr>
        <w:t>. Den tyske kvinde blev</w:t>
      </w:r>
      <w:r w:rsidR="00A62F12">
        <w:rPr>
          <w:rFonts w:ascii="Arial" w:hAnsi="Arial" w:cs="Arial"/>
          <w:sz w:val="24"/>
        </w:rPr>
        <w:t xml:space="preserve"> Knuds mor, og grundet hendes tyske rødder</w:t>
      </w:r>
      <w:r w:rsidR="004F571D">
        <w:rPr>
          <w:rFonts w:ascii="Arial" w:hAnsi="Arial" w:cs="Arial"/>
          <w:sz w:val="24"/>
        </w:rPr>
        <w:t>,</w:t>
      </w:r>
      <w:r w:rsidR="00A62F12">
        <w:rPr>
          <w:rFonts w:ascii="Arial" w:hAnsi="Arial" w:cs="Arial"/>
          <w:sz w:val="24"/>
        </w:rPr>
        <w:t xml:space="preserve"> ville hun aldrig blive accepteret af det lille</w:t>
      </w:r>
      <w:r w:rsidR="004F571D">
        <w:rPr>
          <w:rFonts w:ascii="Arial" w:hAnsi="Arial" w:cs="Arial"/>
          <w:sz w:val="24"/>
        </w:rPr>
        <w:t xml:space="preserve"> lokal</w:t>
      </w:r>
      <w:r w:rsidR="00A62F12">
        <w:rPr>
          <w:rFonts w:ascii="Arial" w:hAnsi="Arial" w:cs="Arial"/>
          <w:sz w:val="24"/>
        </w:rPr>
        <w:t>samfund, selvom hun osede af livsglæde, humør og godhed.</w:t>
      </w:r>
      <w:r w:rsidR="004F571D">
        <w:rPr>
          <w:rFonts w:ascii="Arial" w:hAnsi="Arial" w:cs="Arial"/>
          <w:sz w:val="24"/>
        </w:rPr>
        <w:t xml:space="preserve"> Uddrag</w:t>
      </w:r>
      <w:r w:rsidR="00044310">
        <w:rPr>
          <w:rFonts w:ascii="Arial" w:hAnsi="Arial" w:cs="Arial"/>
          <w:sz w:val="24"/>
        </w:rPr>
        <w:t>et handler</w:t>
      </w:r>
      <w:r w:rsidR="004F571D">
        <w:rPr>
          <w:rFonts w:ascii="Arial" w:hAnsi="Arial" w:cs="Arial"/>
          <w:sz w:val="24"/>
        </w:rPr>
        <w:t xml:space="preserve"> også om Knuds opvækst som enebarn og om en indelukket familie historie.</w:t>
      </w:r>
    </w:p>
    <w:p w:rsidR="00F57A9E" w:rsidRDefault="004F571D" w:rsidP="0068575D">
      <w:pPr>
        <w:spacing w:line="360" w:lineRule="auto"/>
        <w:rPr>
          <w:rFonts w:ascii="Arial" w:hAnsi="Arial" w:cs="Arial"/>
          <w:sz w:val="24"/>
        </w:rPr>
      </w:pPr>
      <w:r>
        <w:rPr>
          <w:rFonts w:ascii="Arial" w:hAnsi="Arial" w:cs="Arial"/>
          <w:sz w:val="24"/>
        </w:rPr>
        <w:t xml:space="preserve">Uddraget består af forskellige aktører som inkluderer </w:t>
      </w:r>
      <w:r w:rsidR="00EB5E4E">
        <w:rPr>
          <w:rFonts w:ascii="Arial" w:hAnsi="Arial" w:cs="Arial"/>
          <w:sz w:val="24"/>
        </w:rPr>
        <w:t xml:space="preserve">moderen, faderen, Klaus, </w:t>
      </w:r>
      <w:r w:rsidR="00973352">
        <w:rPr>
          <w:rFonts w:ascii="Arial" w:hAnsi="Arial" w:cs="Arial"/>
          <w:sz w:val="24"/>
        </w:rPr>
        <w:t>Klaus’ ”venner”</w:t>
      </w:r>
      <w:r w:rsidR="00EB5E4E">
        <w:rPr>
          <w:rFonts w:ascii="Arial" w:hAnsi="Arial" w:cs="Arial"/>
          <w:sz w:val="24"/>
        </w:rPr>
        <w:t xml:space="preserve"> og indbyggerne i Nykøbing Falster. </w:t>
      </w:r>
    </w:p>
    <w:p w:rsidR="00F57A9E" w:rsidRDefault="00EB5E4E" w:rsidP="0068575D">
      <w:pPr>
        <w:spacing w:line="360" w:lineRule="auto"/>
        <w:rPr>
          <w:rFonts w:ascii="Arial" w:hAnsi="Arial" w:cs="Arial"/>
          <w:sz w:val="24"/>
        </w:rPr>
      </w:pPr>
      <w:r>
        <w:rPr>
          <w:rFonts w:ascii="Arial" w:hAnsi="Arial" w:cs="Arial"/>
          <w:sz w:val="24"/>
        </w:rPr>
        <w:t>Moderen</w:t>
      </w:r>
      <w:r w:rsidR="00EB639F">
        <w:rPr>
          <w:rFonts w:ascii="Arial" w:hAnsi="Arial" w:cs="Arial"/>
          <w:sz w:val="24"/>
        </w:rPr>
        <w:t xml:space="preserve"> har tysk oprindelse, og opfattes som havende stor tryghed ved tyske normer og værdier. Eksempelvis holdes Klaus’ fødselsdag, ikke som en almen dansk fødselsdag med dansk fødselsdagssang, boller og kagemand, men tværtimod med tysk fødselsdagssang, </w:t>
      </w:r>
      <w:proofErr w:type="spellStart"/>
      <w:r w:rsidR="00EB639F">
        <w:rPr>
          <w:rFonts w:ascii="Arial" w:hAnsi="Arial" w:cs="Arial"/>
          <w:sz w:val="24"/>
        </w:rPr>
        <w:t>Gugelhumpf</w:t>
      </w:r>
      <w:proofErr w:type="spellEnd"/>
      <w:r w:rsidR="00EB639F">
        <w:rPr>
          <w:rFonts w:ascii="Arial" w:hAnsi="Arial" w:cs="Arial"/>
          <w:sz w:val="24"/>
        </w:rPr>
        <w:t xml:space="preserve"> og karameller rundt om tallerkenen</w:t>
      </w:r>
      <w:r w:rsidR="00EB639F">
        <w:rPr>
          <w:rStyle w:val="Fodnotehenvisning"/>
          <w:rFonts w:ascii="Arial" w:hAnsi="Arial" w:cs="Arial"/>
          <w:sz w:val="24"/>
        </w:rPr>
        <w:footnoteReference w:id="3"/>
      </w:r>
      <w:r w:rsidR="00044310">
        <w:rPr>
          <w:rFonts w:ascii="Arial" w:hAnsi="Arial" w:cs="Arial"/>
          <w:sz w:val="24"/>
        </w:rPr>
        <w:t>. Selv deres hus var fyldt med</w:t>
      </w:r>
      <w:r w:rsidR="00EB639F">
        <w:rPr>
          <w:rFonts w:ascii="Arial" w:hAnsi="Arial" w:cs="Arial"/>
          <w:sz w:val="24"/>
        </w:rPr>
        <w:t xml:space="preserve"> tysk</w:t>
      </w:r>
      <w:r w:rsidR="00072A1E">
        <w:rPr>
          <w:rFonts w:ascii="Arial" w:hAnsi="Arial" w:cs="Arial"/>
          <w:sz w:val="24"/>
        </w:rPr>
        <w:t>e traditioner såsom Papa Schneiders møbler, og Meissnerporcelænet til specielle lejligheder</w:t>
      </w:r>
      <w:r w:rsidR="00072A1E">
        <w:rPr>
          <w:rStyle w:val="Fodnotehenvisning"/>
          <w:rFonts w:ascii="Arial" w:hAnsi="Arial" w:cs="Arial"/>
          <w:sz w:val="24"/>
        </w:rPr>
        <w:footnoteReference w:id="4"/>
      </w:r>
      <w:r w:rsidR="00072A1E">
        <w:rPr>
          <w:rFonts w:ascii="Arial" w:hAnsi="Arial" w:cs="Arial"/>
          <w:sz w:val="24"/>
        </w:rPr>
        <w:t xml:space="preserve">. </w:t>
      </w:r>
    </w:p>
    <w:p w:rsidR="00F57A9E" w:rsidRDefault="00072A1E" w:rsidP="0068575D">
      <w:pPr>
        <w:spacing w:line="360" w:lineRule="auto"/>
        <w:rPr>
          <w:rFonts w:ascii="Arial" w:hAnsi="Arial" w:cs="Arial"/>
          <w:sz w:val="24"/>
        </w:rPr>
      </w:pPr>
      <w:r>
        <w:rPr>
          <w:rFonts w:ascii="Arial" w:hAnsi="Arial" w:cs="Arial"/>
          <w:sz w:val="24"/>
        </w:rPr>
        <w:t>Faderen</w:t>
      </w:r>
      <w:r w:rsidR="0032591C">
        <w:rPr>
          <w:rFonts w:ascii="Arial" w:hAnsi="Arial" w:cs="Arial"/>
          <w:sz w:val="24"/>
        </w:rPr>
        <w:t xml:space="preserve"> hører man ikke meget om</w:t>
      </w:r>
      <w:r>
        <w:rPr>
          <w:rFonts w:ascii="Arial" w:hAnsi="Arial" w:cs="Arial"/>
          <w:sz w:val="24"/>
        </w:rPr>
        <w:t>, og</w:t>
      </w:r>
      <w:r w:rsidR="0032591C">
        <w:rPr>
          <w:rFonts w:ascii="Arial" w:hAnsi="Arial" w:cs="Arial"/>
          <w:sz w:val="24"/>
        </w:rPr>
        <w:t xml:space="preserve"> når man gør,</w:t>
      </w:r>
      <w:r>
        <w:rPr>
          <w:rFonts w:ascii="Arial" w:hAnsi="Arial" w:cs="Arial"/>
          <w:sz w:val="24"/>
        </w:rPr>
        <w:t xml:space="preserve"> opfattes</w:t>
      </w:r>
      <w:r w:rsidR="0032591C">
        <w:rPr>
          <w:rFonts w:ascii="Arial" w:hAnsi="Arial" w:cs="Arial"/>
          <w:sz w:val="24"/>
        </w:rPr>
        <w:t xml:space="preserve"> han</w:t>
      </w:r>
      <w:r>
        <w:rPr>
          <w:rFonts w:ascii="Arial" w:hAnsi="Arial" w:cs="Arial"/>
          <w:sz w:val="24"/>
        </w:rPr>
        <w:t xml:space="preserve"> som indelukket og forsigtig i sin væremåde. Eksempelvis føler</w:t>
      </w:r>
      <w:r w:rsidR="0032591C">
        <w:rPr>
          <w:rFonts w:ascii="Arial" w:hAnsi="Arial" w:cs="Arial"/>
          <w:sz w:val="24"/>
        </w:rPr>
        <w:t xml:space="preserve"> man</w:t>
      </w:r>
      <w:r w:rsidR="002B71F7">
        <w:rPr>
          <w:rFonts w:ascii="Arial" w:hAnsi="Arial" w:cs="Arial"/>
          <w:sz w:val="24"/>
        </w:rPr>
        <w:t>,</w:t>
      </w:r>
      <w:r>
        <w:rPr>
          <w:rFonts w:ascii="Arial" w:hAnsi="Arial" w:cs="Arial"/>
          <w:sz w:val="24"/>
        </w:rPr>
        <w:t xml:space="preserve"> at moderen er midtpunktet og det stærke </w:t>
      </w:r>
      <w:r>
        <w:rPr>
          <w:rFonts w:ascii="Arial" w:hAnsi="Arial" w:cs="Arial"/>
          <w:sz w:val="24"/>
        </w:rPr>
        <w:lastRenderedPageBreak/>
        <w:t>individ</w:t>
      </w:r>
      <w:r w:rsidR="0032591C">
        <w:rPr>
          <w:rFonts w:ascii="Arial" w:hAnsi="Arial" w:cs="Arial"/>
          <w:sz w:val="24"/>
        </w:rPr>
        <w:t>, i og med hun dominerer uddraget i forhold til faderen</w:t>
      </w:r>
      <w:r>
        <w:rPr>
          <w:rFonts w:ascii="Arial" w:hAnsi="Arial" w:cs="Arial"/>
          <w:sz w:val="24"/>
        </w:rPr>
        <w:t>.</w:t>
      </w:r>
      <w:r w:rsidR="0032591C">
        <w:rPr>
          <w:rFonts w:ascii="Arial" w:hAnsi="Arial" w:cs="Arial"/>
          <w:sz w:val="24"/>
        </w:rPr>
        <w:t xml:space="preserve"> Hun dominerer eksempelvis ved børnefødselsdagen, hvor hun står for det hele</w:t>
      </w:r>
      <w:r w:rsidR="0032591C">
        <w:rPr>
          <w:rStyle w:val="Fodnotehenvisning"/>
          <w:rFonts w:ascii="Arial" w:hAnsi="Arial" w:cs="Arial"/>
          <w:sz w:val="24"/>
        </w:rPr>
        <w:footnoteReference w:id="5"/>
      </w:r>
      <w:r w:rsidR="0032591C">
        <w:rPr>
          <w:rFonts w:ascii="Arial" w:hAnsi="Arial" w:cs="Arial"/>
          <w:sz w:val="24"/>
        </w:rPr>
        <w:t>.</w:t>
      </w:r>
      <w:r>
        <w:rPr>
          <w:rFonts w:ascii="Arial" w:hAnsi="Arial" w:cs="Arial"/>
          <w:sz w:val="24"/>
        </w:rPr>
        <w:t xml:space="preserve"> Faderen opholder sig eksempelvis også i baggrunden, da moderen finder harmonikaen frem og stillede op udenfor på gaden</w:t>
      </w:r>
      <w:r>
        <w:rPr>
          <w:rStyle w:val="Fodnotehenvisning"/>
          <w:rFonts w:ascii="Arial" w:hAnsi="Arial" w:cs="Arial"/>
          <w:sz w:val="24"/>
        </w:rPr>
        <w:footnoteReference w:id="6"/>
      </w:r>
      <w:r>
        <w:rPr>
          <w:rFonts w:ascii="Arial" w:hAnsi="Arial" w:cs="Arial"/>
          <w:sz w:val="24"/>
        </w:rPr>
        <w:t xml:space="preserve">. Det giver et indtryk af, at han ikke kan lide at være i centrum, og gerne vil gemme sig og ikke blive set - en frygt for at blive set ned på. </w:t>
      </w:r>
    </w:p>
    <w:p w:rsidR="004F571D" w:rsidRDefault="0032591C" w:rsidP="0068575D">
      <w:pPr>
        <w:spacing w:line="360" w:lineRule="auto"/>
        <w:rPr>
          <w:rFonts w:ascii="Arial" w:hAnsi="Arial" w:cs="Arial"/>
          <w:sz w:val="24"/>
        </w:rPr>
      </w:pPr>
      <w:r>
        <w:rPr>
          <w:rFonts w:ascii="Arial" w:hAnsi="Arial" w:cs="Arial"/>
          <w:sz w:val="24"/>
        </w:rPr>
        <w:t>Knud</w:t>
      </w:r>
      <w:r w:rsidR="0068575D">
        <w:rPr>
          <w:rFonts w:ascii="Arial" w:hAnsi="Arial" w:cs="Arial"/>
          <w:sz w:val="24"/>
        </w:rPr>
        <w:t xml:space="preserve"> anses som værende en forkælet, men stadig traumatisk ramt dreng. Han får alt hvad hans forældre kunne give (cykel, optimistjolle, knallert mv.), dog er dette en ligegyldighedsfaktor</w:t>
      </w:r>
      <w:r w:rsidR="006A11B4">
        <w:rPr>
          <w:rFonts w:ascii="Arial" w:hAnsi="Arial" w:cs="Arial"/>
          <w:sz w:val="24"/>
        </w:rPr>
        <w:t xml:space="preserve"> for ham, fordi han vidste</w:t>
      </w:r>
      <w:r w:rsidR="00044310">
        <w:rPr>
          <w:rFonts w:ascii="Arial" w:hAnsi="Arial" w:cs="Arial"/>
          <w:sz w:val="24"/>
        </w:rPr>
        <w:t xml:space="preserve"> at</w:t>
      </w:r>
      <w:r w:rsidR="006A11B4">
        <w:rPr>
          <w:rFonts w:ascii="Arial" w:hAnsi="Arial" w:cs="Arial"/>
          <w:sz w:val="24"/>
        </w:rPr>
        <w:t xml:space="preserve"> det</w:t>
      </w:r>
      <w:r w:rsidR="0068575D">
        <w:rPr>
          <w:rFonts w:ascii="Arial" w:hAnsi="Arial" w:cs="Arial"/>
          <w:sz w:val="24"/>
        </w:rPr>
        <w:t xml:space="preserve"> hele ville blive ødelagt alligevel. Eksempel på dette er </w:t>
      </w:r>
      <w:r w:rsidR="00F95493">
        <w:rPr>
          <w:rFonts w:ascii="Arial" w:hAnsi="Arial" w:cs="Arial"/>
          <w:sz w:val="24"/>
        </w:rPr>
        <w:t>f.eks. at forældrene havde købt en cykel fra Tyskland med brede, hvide dæk, som var helt unik, og alligevel vidste Knud, at den ville være piftet, når han skulle hjem fra skole igen</w:t>
      </w:r>
      <w:r w:rsidR="00F95493">
        <w:rPr>
          <w:rStyle w:val="Fodnotehenvisning"/>
          <w:rFonts w:ascii="Arial" w:hAnsi="Arial" w:cs="Arial"/>
          <w:sz w:val="24"/>
        </w:rPr>
        <w:footnoteReference w:id="7"/>
      </w:r>
      <w:r w:rsidR="00F95493">
        <w:rPr>
          <w:rFonts w:ascii="Arial" w:hAnsi="Arial" w:cs="Arial"/>
          <w:sz w:val="24"/>
        </w:rPr>
        <w:t xml:space="preserve">. </w:t>
      </w:r>
      <w:r w:rsidR="00044310">
        <w:rPr>
          <w:rFonts w:ascii="Arial" w:hAnsi="Arial" w:cs="Arial"/>
          <w:sz w:val="24"/>
        </w:rPr>
        <w:t>Han følte</w:t>
      </w:r>
      <w:r w:rsidR="006A11B4">
        <w:rPr>
          <w:rFonts w:ascii="Arial" w:hAnsi="Arial" w:cs="Arial"/>
          <w:sz w:val="24"/>
        </w:rPr>
        <w:t xml:space="preserve"> sig</w:t>
      </w:r>
      <w:r w:rsidR="00044310">
        <w:rPr>
          <w:rFonts w:ascii="Arial" w:hAnsi="Arial" w:cs="Arial"/>
          <w:sz w:val="24"/>
        </w:rPr>
        <w:t xml:space="preserve"> ikke</w:t>
      </w:r>
      <w:r w:rsidR="006A11B4">
        <w:rPr>
          <w:rFonts w:ascii="Arial" w:hAnsi="Arial" w:cs="Arial"/>
          <w:sz w:val="24"/>
        </w:rPr>
        <w:t xml:space="preserve"> tilpas, hverken i hans moders tyske normer og værdier, eller blandt ”vennernes” tilstedeværelse. Eksempelvis er det eneste han ønsker sig til sin fød</w:t>
      </w:r>
      <w:r w:rsidR="00044310">
        <w:rPr>
          <w:rFonts w:ascii="Arial" w:hAnsi="Arial" w:cs="Arial"/>
          <w:sz w:val="24"/>
        </w:rPr>
        <w:t>selsdag, at han ikke skulle holde</w:t>
      </w:r>
      <w:r w:rsidR="006A11B4">
        <w:rPr>
          <w:rFonts w:ascii="Arial" w:hAnsi="Arial" w:cs="Arial"/>
          <w:sz w:val="24"/>
        </w:rPr>
        <w:t xml:space="preserve"> fødselsdag, og at den vil blive sprunget over</w:t>
      </w:r>
      <w:r w:rsidR="006A11B4">
        <w:rPr>
          <w:rStyle w:val="Fodnotehenvisning"/>
          <w:rFonts w:ascii="Arial" w:hAnsi="Arial" w:cs="Arial"/>
          <w:sz w:val="24"/>
        </w:rPr>
        <w:footnoteReference w:id="8"/>
      </w:r>
      <w:r w:rsidR="006A11B4">
        <w:rPr>
          <w:rFonts w:ascii="Arial" w:hAnsi="Arial" w:cs="Arial"/>
          <w:sz w:val="24"/>
        </w:rPr>
        <w:t xml:space="preserve">. </w:t>
      </w:r>
      <w:r w:rsidR="00146255">
        <w:rPr>
          <w:rFonts w:ascii="Arial" w:hAnsi="Arial" w:cs="Arial"/>
          <w:sz w:val="24"/>
        </w:rPr>
        <w:t>Samtidig med, at hans ”venner”</w:t>
      </w:r>
      <w:r w:rsidR="00044310">
        <w:rPr>
          <w:rFonts w:ascii="Arial" w:hAnsi="Arial" w:cs="Arial"/>
          <w:sz w:val="24"/>
        </w:rPr>
        <w:t xml:space="preserve"> gjorde</w:t>
      </w:r>
      <w:r w:rsidR="00F57A9E">
        <w:rPr>
          <w:rFonts w:ascii="Arial" w:hAnsi="Arial" w:cs="Arial"/>
          <w:sz w:val="24"/>
        </w:rPr>
        <w:t xml:space="preserve"> grin med hans famili</w:t>
      </w:r>
      <w:r w:rsidR="00044310">
        <w:rPr>
          <w:rFonts w:ascii="Arial" w:hAnsi="Arial" w:cs="Arial"/>
          <w:sz w:val="24"/>
        </w:rPr>
        <w:t>e, gjorde</w:t>
      </w:r>
      <w:r w:rsidR="002B71F7">
        <w:rPr>
          <w:rFonts w:ascii="Arial" w:hAnsi="Arial" w:cs="Arial"/>
          <w:sz w:val="24"/>
        </w:rPr>
        <w:t xml:space="preserve"> det ikke</w:t>
      </w:r>
      <w:r w:rsidR="00044310">
        <w:rPr>
          <w:rFonts w:ascii="Arial" w:hAnsi="Arial" w:cs="Arial"/>
          <w:sz w:val="24"/>
        </w:rPr>
        <w:t xml:space="preserve"> det</w:t>
      </w:r>
      <w:r w:rsidR="002B71F7">
        <w:rPr>
          <w:rFonts w:ascii="Arial" w:hAnsi="Arial" w:cs="Arial"/>
          <w:sz w:val="24"/>
        </w:rPr>
        <w:t xml:space="preserve"> bedre for Knud. Eksempel på dette er til hans fødselsdag hvor de gør nar, ødelægger ting og tror de ejer det hele. Her driller de også Knud ved, at kalde ham ”</w:t>
      </w:r>
      <w:proofErr w:type="spellStart"/>
      <w:r w:rsidR="002B71F7">
        <w:rPr>
          <w:rFonts w:ascii="Arial" w:hAnsi="Arial" w:cs="Arial"/>
          <w:sz w:val="24"/>
        </w:rPr>
        <w:t>Knüdchen</w:t>
      </w:r>
      <w:proofErr w:type="spellEnd"/>
      <w:r w:rsidR="002B71F7">
        <w:rPr>
          <w:rFonts w:ascii="Arial" w:hAnsi="Arial" w:cs="Arial"/>
          <w:sz w:val="24"/>
        </w:rPr>
        <w:t>” som hans mor også kalder ham</w:t>
      </w:r>
      <w:r w:rsidR="002B71F7">
        <w:rPr>
          <w:rStyle w:val="Fodnotehenvisning"/>
          <w:rFonts w:ascii="Arial" w:hAnsi="Arial" w:cs="Arial"/>
          <w:sz w:val="24"/>
        </w:rPr>
        <w:footnoteReference w:id="9"/>
      </w:r>
      <w:r w:rsidR="002B71F7">
        <w:rPr>
          <w:rFonts w:ascii="Arial" w:hAnsi="Arial" w:cs="Arial"/>
          <w:sz w:val="24"/>
        </w:rPr>
        <w:t xml:space="preserve">. </w:t>
      </w:r>
    </w:p>
    <w:p w:rsidR="00C119AC" w:rsidRDefault="00C119AC" w:rsidP="0068575D">
      <w:pPr>
        <w:spacing w:line="360" w:lineRule="auto"/>
        <w:rPr>
          <w:rFonts w:ascii="Arial" w:hAnsi="Arial" w:cs="Arial"/>
          <w:sz w:val="24"/>
        </w:rPr>
      </w:pPr>
      <w:r>
        <w:rPr>
          <w:rFonts w:ascii="Arial" w:hAnsi="Arial" w:cs="Arial"/>
          <w:sz w:val="24"/>
        </w:rPr>
        <w:t>Knuds ”venner” og indbyggerne i byen, er onde og sarkastiske</w:t>
      </w:r>
      <w:r w:rsidR="00044310">
        <w:rPr>
          <w:rFonts w:ascii="Arial" w:hAnsi="Arial" w:cs="Arial"/>
          <w:sz w:val="24"/>
        </w:rPr>
        <w:t xml:space="preserve"> med</w:t>
      </w:r>
      <w:r>
        <w:rPr>
          <w:rFonts w:ascii="Arial" w:hAnsi="Arial" w:cs="Arial"/>
          <w:sz w:val="24"/>
        </w:rPr>
        <w:t xml:space="preserve"> alt der indebærer Knuds familie. Eksempelvis som før hvor Knuds ”venner”, gjorde oplagt grin med hans fødselsdag. Samtidig gør indbyggerne også sit, for at være imod Knuds familie. Et eksempel på dette er, da Knuds mor holdte sit fødselsdagsoptog ude på gaderne, og overalt kom folk ud og strakte højre arm, som om det var et hitleroptog</w:t>
      </w:r>
      <w:r>
        <w:rPr>
          <w:rStyle w:val="Fodnotehenvisning"/>
          <w:rFonts w:ascii="Arial" w:hAnsi="Arial" w:cs="Arial"/>
          <w:sz w:val="24"/>
        </w:rPr>
        <w:footnoteReference w:id="10"/>
      </w:r>
      <w:r>
        <w:rPr>
          <w:rFonts w:ascii="Arial" w:hAnsi="Arial" w:cs="Arial"/>
          <w:sz w:val="24"/>
        </w:rPr>
        <w:t xml:space="preserve">. </w:t>
      </w:r>
    </w:p>
    <w:p w:rsidR="00C119AC" w:rsidRDefault="00C119AC" w:rsidP="0068575D">
      <w:pPr>
        <w:spacing w:line="360" w:lineRule="auto"/>
        <w:rPr>
          <w:rFonts w:ascii="Arial" w:hAnsi="Arial" w:cs="Arial"/>
          <w:sz w:val="24"/>
        </w:rPr>
      </w:pPr>
      <w:r>
        <w:rPr>
          <w:rFonts w:ascii="Arial" w:hAnsi="Arial" w:cs="Arial"/>
          <w:sz w:val="24"/>
        </w:rPr>
        <w:t xml:space="preserve">En detalje der er værd, at lægge mærke til er, at det lille lokalsamfund </w:t>
      </w:r>
      <w:r w:rsidR="00044310">
        <w:rPr>
          <w:rFonts w:ascii="Arial" w:hAnsi="Arial" w:cs="Arial"/>
          <w:sz w:val="24"/>
        </w:rPr>
        <w:t>Nykøbing Falster bliver betragtet</w:t>
      </w:r>
      <w:r>
        <w:rPr>
          <w:rFonts w:ascii="Arial" w:hAnsi="Arial" w:cs="Arial"/>
          <w:sz w:val="24"/>
        </w:rPr>
        <w:t xml:space="preserve"> som en by, der er så lille, a</w:t>
      </w:r>
      <w:r w:rsidR="002348E7">
        <w:rPr>
          <w:rFonts w:ascii="Arial" w:hAnsi="Arial" w:cs="Arial"/>
          <w:sz w:val="24"/>
        </w:rPr>
        <w:t xml:space="preserve">t den begynder med at holde op. Man kan ikke </w:t>
      </w:r>
      <w:r w:rsidR="00044310">
        <w:rPr>
          <w:rFonts w:ascii="Arial" w:hAnsi="Arial" w:cs="Arial"/>
          <w:sz w:val="24"/>
        </w:rPr>
        <w:t>blive en del af</w:t>
      </w:r>
      <w:r w:rsidR="002348E7">
        <w:rPr>
          <w:rFonts w:ascii="Arial" w:hAnsi="Arial" w:cs="Arial"/>
          <w:sz w:val="24"/>
        </w:rPr>
        <w:t xml:space="preserve"> samfundet</w:t>
      </w:r>
      <w:r w:rsidR="00044310">
        <w:rPr>
          <w:rFonts w:ascii="Arial" w:hAnsi="Arial" w:cs="Arial"/>
          <w:sz w:val="24"/>
        </w:rPr>
        <w:t xml:space="preserve"> hvis man ikke i forvejen er en del af det</w:t>
      </w:r>
      <w:r w:rsidR="002348E7">
        <w:rPr>
          <w:rStyle w:val="Fodnotehenvisning"/>
          <w:rFonts w:ascii="Arial" w:hAnsi="Arial" w:cs="Arial"/>
          <w:sz w:val="24"/>
        </w:rPr>
        <w:footnoteReference w:id="11"/>
      </w:r>
      <w:r w:rsidR="002348E7">
        <w:rPr>
          <w:rFonts w:ascii="Arial" w:hAnsi="Arial" w:cs="Arial"/>
          <w:sz w:val="24"/>
        </w:rPr>
        <w:t xml:space="preserve">. Det virker som om, at indbyggerne i Nykøbing Falster ikke vil have, at der bliver ændret på normer og værdier, </w:t>
      </w:r>
      <w:r w:rsidR="002348E7">
        <w:rPr>
          <w:rFonts w:ascii="Arial" w:hAnsi="Arial" w:cs="Arial"/>
          <w:sz w:val="24"/>
        </w:rPr>
        <w:lastRenderedPageBreak/>
        <w:t xml:space="preserve">og er et rigtigt indelukket samfund. Derfor føler man, at Nykøbing Falster er en proletar by, som hverken kan se fremtiden og som ikke er progressive, hvad angår ny fremmed kultur. </w:t>
      </w:r>
    </w:p>
    <w:p w:rsidR="00315110" w:rsidRDefault="00154733" w:rsidP="0068575D">
      <w:pPr>
        <w:spacing w:line="360" w:lineRule="auto"/>
        <w:rPr>
          <w:rFonts w:ascii="Arial" w:hAnsi="Arial" w:cs="Arial"/>
          <w:sz w:val="24"/>
        </w:rPr>
      </w:pPr>
      <w:r>
        <w:rPr>
          <w:rFonts w:ascii="Arial" w:hAnsi="Arial" w:cs="Arial"/>
          <w:sz w:val="24"/>
        </w:rPr>
        <w:t xml:space="preserve">Uddraget fra Knud Romers ”Den som blinker er bange for døden” gir modtageren en lyst til, at give medfølelse til drengen Knud. Det gør det fordi, at når et individ har haft en traumatisk opvækst, giver det som regel en følelse af had og sympati hos modtageren. Denne måde at opnå sympati og medhold på kaldes også patos, at Knud Romer overbeviser modtageren ved at snakke til følelserne. </w:t>
      </w:r>
    </w:p>
    <w:p w:rsidR="00F95493" w:rsidRDefault="00044310" w:rsidP="0068575D">
      <w:pPr>
        <w:spacing w:line="360" w:lineRule="auto"/>
        <w:rPr>
          <w:rFonts w:ascii="Arial" w:hAnsi="Arial" w:cs="Arial"/>
          <w:sz w:val="24"/>
        </w:rPr>
      </w:pPr>
      <w:r>
        <w:rPr>
          <w:rFonts w:ascii="Arial" w:hAnsi="Arial" w:cs="Arial"/>
          <w:sz w:val="24"/>
        </w:rPr>
        <w:t>Værket henviser flere gange til, at det</w:t>
      </w:r>
      <w:r w:rsidR="00154733">
        <w:rPr>
          <w:rFonts w:ascii="Arial" w:hAnsi="Arial" w:cs="Arial"/>
          <w:sz w:val="24"/>
        </w:rPr>
        <w:t xml:space="preserve"> kun var</w:t>
      </w:r>
      <w:r>
        <w:rPr>
          <w:rFonts w:ascii="Arial" w:hAnsi="Arial" w:cs="Arial"/>
          <w:sz w:val="24"/>
        </w:rPr>
        <w:t xml:space="preserve"> familien der var</w:t>
      </w:r>
      <w:r w:rsidR="00154733">
        <w:rPr>
          <w:rFonts w:ascii="Arial" w:hAnsi="Arial" w:cs="Arial"/>
          <w:sz w:val="24"/>
        </w:rPr>
        <w:t xml:space="preserve"> sammen og ingen andre. Der var aldrig venner eller familie. </w:t>
      </w:r>
      <w:r w:rsidR="00D544A5">
        <w:rPr>
          <w:rFonts w:ascii="Arial" w:hAnsi="Arial" w:cs="Arial"/>
          <w:sz w:val="24"/>
        </w:rPr>
        <w:t>Intet selskabeligt liv</w:t>
      </w:r>
      <w:r w:rsidR="00D544A5">
        <w:rPr>
          <w:rStyle w:val="Fodnotehenvisning"/>
          <w:rFonts w:ascii="Arial" w:hAnsi="Arial" w:cs="Arial"/>
          <w:sz w:val="24"/>
        </w:rPr>
        <w:footnoteReference w:id="12"/>
      </w:r>
      <w:r w:rsidR="00D544A5">
        <w:rPr>
          <w:rFonts w:ascii="Arial" w:hAnsi="Arial" w:cs="Arial"/>
          <w:sz w:val="24"/>
        </w:rPr>
        <w:t>. De så ikke deres resterende familie, fordi de havde slået hånden af dem, det samme havde Nykøbing Falsters indbyggere. At have slået hånden af dem, er en anden betydning for, at have udstødt dem, ligesom Jehovas vidner gør når et medlem vender Jehova ryggen</w:t>
      </w:r>
      <w:r w:rsidR="00D544A5">
        <w:rPr>
          <w:rStyle w:val="Fodnotehenvisning"/>
          <w:rFonts w:ascii="Arial" w:hAnsi="Arial" w:cs="Arial"/>
          <w:sz w:val="24"/>
        </w:rPr>
        <w:footnoteReference w:id="13"/>
      </w:r>
      <w:r w:rsidR="00D544A5">
        <w:rPr>
          <w:rFonts w:ascii="Arial" w:hAnsi="Arial" w:cs="Arial"/>
          <w:sz w:val="24"/>
        </w:rPr>
        <w:t xml:space="preserve">. </w:t>
      </w:r>
      <w:r w:rsidR="00624CA9">
        <w:rPr>
          <w:rFonts w:ascii="Arial" w:hAnsi="Arial" w:cs="Arial"/>
          <w:sz w:val="24"/>
        </w:rPr>
        <w:t>Familien bliver udstødt på grund af moderens tyske normer og værdier, som minder datidens danskere om nazismen. Optoget som moderen foretog ned igennem hele byen, kan sammenlignes med et klassisk hitleroptog, og det må også være derfor indbyggerne heilede</w:t>
      </w:r>
      <w:r w:rsidR="00624CA9">
        <w:rPr>
          <w:rStyle w:val="Fodnotehenvisning"/>
          <w:rFonts w:ascii="Arial" w:hAnsi="Arial" w:cs="Arial"/>
          <w:sz w:val="24"/>
        </w:rPr>
        <w:footnoteReference w:id="14"/>
      </w:r>
      <w:r w:rsidR="00624CA9">
        <w:rPr>
          <w:rFonts w:ascii="Arial" w:hAnsi="Arial" w:cs="Arial"/>
          <w:sz w:val="24"/>
        </w:rPr>
        <w:t xml:space="preserve">.  Man kan have svært ved at skildre mellem hvem der egentlig er bøddel, medløber eller offer i uddraget. Bøddelen og offeret kan begge være Knud Romer. Bøddel i form af, at han udsætter sin familie samt ”venner” for, at have skrevet bogen - men samtidig også offeret idet, at han har været udsat for det han har. </w:t>
      </w:r>
      <w:r w:rsidR="0019237A">
        <w:rPr>
          <w:rFonts w:ascii="Arial" w:hAnsi="Arial" w:cs="Arial"/>
          <w:sz w:val="24"/>
        </w:rPr>
        <w:t xml:space="preserve">Det </w:t>
      </w:r>
      <w:r w:rsidR="0065629A">
        <w:rPr>
          <w:rFonts w:ascii="Arial" w:hAnsi="Arial" w:cs="Arial"/>
          <w:sz w:val="24"/>
        </w:rPr>
        <w:t xml:space="preserve">er ikke nemt at skildre imellem, men fortæller </w:t>
      </w:r>
      <w:r w:rsidR="00315110">
        <w:rPr>
          <w:rFonts w:ascii="Arial" w:hAnsi="Arial" w:cs="Arial"/>
          <w:sz w:val="24"/>
        </w:rPr>
        <w:t>Knud Romer også hele</w:t>
      </w:r>
      <w:r>
        <w:rPr>
          <w:rFonts w:ascii="Arial" w:hAnsi="Arial" w:cs="Arial"/>
          <w:sz w:val="24"/>
        </w:rPr>
        <w:t xml:space="preserve"> sandheden, om hvordan han i realiteten, kom</w:t>
      </w:r>
      <w:r w:rsidR="00315110">
        <w:rPr>
          <w:rFonts w:ascii="Arial" w:hAnsi="Arial" w:cs="Arial"/>
          <w:sz w:val="24"/>
        </w:rPr>
        <w:t xml:space="preserve"> igennem så en hård barndom? </w:t>
      </w:r>
    </w:p>
    <w:p w:rsidR="00F95493" w:rsidRPr="00FF7C5D" w:rsidRDefault="0041167F" w:rsidP="0068575D">
      <w:pPr>
        <w:spacing w:line="360" w:lineRule="auto"/>
        <w:rPr>
          <w:rFonts w:ascii="Arial" w:hAnsi="Arial" w:cs="Arial"/>
          <w:sz w:val="24"/>
        </w:rPr>
      </w:pPr>
      <w:r>
        <w:rPr>
          <w:rFonts w:ascii="Arial" w:hAnsi="Arial" w:cs="Arial"/>
          <w:sz w:val="24"/>
        </w:rPr>
        <w:t>I dag er det anerkendt blandt forfattere, at skildre mellem fiktion og ikke-fiktion, hvilket kan betegnes som en ”dobbeltkontrakt”. En dobbeltkontrakt kan foregå i værker, der både kan forstås som en selvbiografi og en fiktionstekst. En dobbeltkontrakt går altså ind og forvirre læseren, så læseren får svært ved at skildrer mellem rigt</w:t>
      </w:r>
      <w:r w:rsidR="00E27629">
        <w:rPr>
          <w:rFonts w:ascii="Arial" w:hAnsi="Arial" w:cs="Arial"/>
          <w:sz w:val="24"/>
        </w:rPr>
        <w:t>igt og forkert. Med andre ord indgår man</w:t>
      </w:r>
      <w:r>
        <w:rPr>
          <w:rFonts w:ascii="Arial" w:hAnsi="Arial" w:cs="Arial"/>
          <w:sz w:val="24"/>
        </w:rPr>
        <w:t xml:space="preserve"> en dobbeltkontrakt igennem værket med sine læsere.</w:t>
      </w:r>
      <w:r w:rsidR="00E27629">
        <w:rPr>
          <w:rFonts w:ascii="Arial" w:hAnsi="Arial" w:cs="Arial"/>
          <w:sz w:val="24"/>
        </w:rPr>
        <w:t xml:space="preserve"> Dette er netop det karismatiske og fængslende ved Knud Romers værk, er det sandheden eller løgn? Driver </w:t>
      </w:r>
      <w:r w:rsidR="00E27629">
        <w:rPr>
          <w:rFonts w:ascii="Arial" w:hAnsi="Arial" w:cs="Arial"/>
          <w:sz w:val="24"/>
        </w:rPr>
        <w:lastRenderedPageBreak/>
        <w:t>han gæk med læseren? Det kristelige dagblad udgav en artikel den 7. februar 2007</w:t>
      </w:r>
      <w:r w:rsidR="00E27629">
        <w:rPr>
          <w:rStyle w:val="Fodnotehenvisning"/>
          <w:rFonts w:ascii="Arial" w:hAnsi="Arial" w:cs="Arial"/>
          <w:sz w:val="24"/>
        </w:rPr>
        <w:footnoteReference w:id="15"/>
      </w:r>
      <w:r w:rsidR="00E27629">
        <w:rPr>
          <w:rFonts w:ascii="Arial" w:hAnsi="Arial" w:cs="Arial"/>
          <w:sz w:val="24"/>
        </w:rPr>
        <w:t xml:space="preserve">, om hvorvidt Knud Romer har løjet om sin barndom i værket ”Den som blinker er bange for døden”. Værket har fået personer fra Knuds barndom til at reagere, og imødekomme værket med skarp kritik. </w:t>
      </w:r>
      <w:r w:rsidR="00293BF0">
        <w:rPr>
          <w:rFonts w:ascii="Arial" w:hAnsi="Arial" w:cs="Arial"/>
          <w:sz w:val="24"/>
        </w:rPr>
        <w:t>En af vennerne fra barndommen mener, at Knud havde en noget bedre barndom end hvad Knud selv havde antaget, og at han havde venner der var der for ham. En anden person fra barndommen påstår, at hele seancen knækker, når han fører en løgn ud i virkeligheden gennem værket. Samtidig med det påstår personen, at hele værket er en iscenesættelse fra ende til anden, hvilket kun er til for at promovere hans bog. Alt kritikken</w:t>
      </w:r>
      <w:r w:rsidR="00044310">
        <w:rPr>
          <w:rFonts w:ascii="Arial" w:hAnsi="Arial" w:cs="Arial"/>
          <w:sz w:val="24"/>
        </w:rPr>
        <w:t xml:space="preserve"> opstod, fordi Knud Romer påstod</w:t>
      </w:r>
      <w:r w:rsidR="00293BF0">
        <w:rPr>
          <w:rFonts w:ascii="Arial" w:hAnsi="Arial" w:cs="Arial"/>
          <w:sz w:val="24"/>
        </w:rPr>
        <w:t>, at han har skrevet en fiktion, og på den anden side har han bekræftet, at det er den skinbarlige sandhed. Selvom der opstod kritik fra barndomsvenner, havde Knud Rom</w:t>
      </w:r>
      <w:r w:rsidR="00044310">
        <w:rPr>
          <w:rFonts w:ascii="Arial" w:hAnsi="Arial" w:cs="Arial"/>
          <w:sz w:val="24"/>
        </w:rPr>
        <w:t>er stadig intet at sige til det. Knud</w:t>
      </w:r>
      <w:r w:rsidR="00293BF0">
        <w:rPr>
          <w:rFonts w:ascii="Arial" w:hAnsi="Arial" w:cs="Arial"/>
          <w:sz w:val="24"/>
        </w:rPr>
        <w:t xml:space="preserve"> Romers redaktør, Charlotte Jørgensen,</w:t>
      </w:r>
      <w:r w:rsidR="00044310">
        <w:rPr>
          <w:rFonts w:ascii="Arial" w:hAnsi="Arial" w:cs="Arial"/>
          <w:sz w:val="24"/>
        </w:rPr>
        <w:t xml:space="preserve"> påstår</w:t>
      </w:r>
      <w:r w:rsidR="00293BF0">
        <w:rPr>
          <w:rFonts w:ascii="Arial" w:hAnsi="Arial" w:cs="Arial"/>
          <w:sz w:val="24"/>
        </w:rPr>
        <w:t xml:space="preserve"> at forholdet i værket mellem virkelighed og fiktion er ekstremt kompliceret</w:t>
      </w:r>
      <w:r w:rsidR="00256E13">
        <w:rPr>
          <w:rFonts w:ascii="Arial" w:hAnsi="Arial" w:cs="Arial"/>
          <w:sz w:val="24"/>
        </w:rPr>
        <w:t>. I en video fra 2006</w:t>
      </w:r>
      <w:r w:rsidR="00256E13">
        <w:rPr>
          <w:rStyle w:val="Fodnotehenvisning"/>
          <w:rFonts w:ascii="Arial" w:hAnsi="Arial" w:cs="Arial"/>
          <w:sz w:val="24"/>
        </w:rPr>
        <w:footnoteReference w:id="16"/>
      </w:r>
      <w:r w:rsidR="00256E13">
        <w:rPr>
          <w:rFonts w:ascii="Arial" w:hAnsi="Arial" w:cs="Arial"/>
          <w:sz w:val="24"/>
        </w:rPr>
        <w:t xml:space="preserve"> snakker han om bogen, og får det til at lyde, som det er den skinbarlige sandhed ved, at nævne at det med hans mor var rigtigt. </w:t>
      </w:r>
      <w:r w:rsidR="00256E13">
        <w:rPr>
          <w:rFonts w:ascii="Arial" w:hAnsi="Arial" w:cs="Arial"/>
          <w:sz w:val="24"/>
        </w:rPr>
        <w:t>Det er svært at bedømme om hvorvidt værket er fiktion eller ikke-fiktion, og det er en beslutning der er svær at tage.</w:t>
      </w:r>
      <w:r w:rsidR="00256E13">
        <w:rPr>
          <w:rFonts w:ascii="Arial" w:hAnsi="Arial" w:cs="Arial"/>
          <w:sz w:val="24"/>
        </w:rPr>
        <w:t xml:space="preserve"> </w:t>
      </w:r>
      <w:r w:rsidR="00585C72">
        <w:rPr>
          <w:rFonts w:ascii="Arial" w:hAnsi="Arial" w:cs="Arial"/>
          <w:sz w:val="24"/>
        </w:rPr>
        <w:t>Jeg læste selv bogen som ikke-fiktion, og fik blødhjertet medlidenhed med ham. Dog grundet hans vilje til at være en løgner, eller rettere bare en forfatter, der benytter sig af en dobbeltkontrakt, helede det blødgjorte hjerte sig hurtigt igen. Jeg kan ikke vurdere om hvorvidt jeg synes om det e</w:t>
      </w:r>
      <w:r w:rsidR="00256E13">
        <w:rPr>
          <w:rFonts w:ascii="Arial" w:hAnsi="Arial" w:cs="Arial"/>
          <w:sz w:val="24"/>
        </w:rPr>
        <w:t>ller ej, men en ting er sikkert;</w:t>
      </w:r>
      <w:r w:rsidR="00585C72">
        <w:rPr>
          <w:rFonts w:ascii="Arial" w:hAnsi="Arial" w:cs="Arial"/>
          <w:sz w:val="24"/>
        </w:rPr>
        <w:t xml:space="preserve"> Knud Romer formår at lave en tekst der især benytter sig af begrebet ”dobbeltkontrakt”. </w:t>
      </w:r>
      <w:bookmarkStart w:id="0" w:name="_GoBack"/>
      <w:bookmarkEnd w:id="0"/>
    </w:p>
    <w:p w:rsidR="00AB6DF7" w:rsidRDefault="00AB6DF7" w:rsidP="00AB6DF7"/>
    <w:p w:rsidR="00AB6DF7" w:rsidRPr="00AB6DF7" w:rsidRDefault="00AB6DF7" w:rsidP="00AB6DF7"/>
    <w:sectPr w:rsidR="00AB6DF7" w:rsidRPr="00AB6DF7">
      <w:headerReference w:type="default" r:id="rId8"/>
      <w:footerReference w:type="default" r:id="rId9"/>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7C5E" w:rsidRDefault="00367C5E" w:rsidP="00AB6DF7">
      <w:pPr>
        <w:spacing w:after="0" w:line="240" w:lineRule="auto"/>
      </w:pPr>
      <w:r>
        <w:separator/>
      </w:r>
    </w:p>
  </w:endnote>
  <w:endnote w:type="continuationSeparator" w:id="0">
    <w:p w:rsidR="00367C5E" w:rsidRDefault="00367C5E" w:rsidP="00AB6D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4198046"/>
      <w:docPartObj>
        <w:docPartGallery w:val="Page Numbers (Bottom of Page)"/>
        <w:docPartUnique/>
      </w:docPartObj>
    </w:sdtPr>
    <w:sdtEndPr/>
    <w:sdtContent>
      <w:p w:rsidR="00F15A85" w:rsidRDefault="00F15A85">
        <w:pPr>
          <w:pStyle w:val="Sidefod"/>
          <w:jc w:val="right"/>
        </w:pPr>
        <w:r>
          <w:fldChar w:fldCharType="begin"/>
        </w:r>
        <w:r>
          <w:instrText>PAGE   \* MERGEFORMAT</w:instrText>
        </w:r>
        <w:r>
          <w:fldChar w:fldCharType="separate"/>
        </w:r>
        <w:r w:rsidR="00256E13">
          <w:rPr>
            <w:noProof/>
          </w:rPr>
          <w:t>3</w:t>
        </w:r>
        <w:r>
          <w:fldChar w:fldCharType="end"/>
        </w:r>
      </w:p>
    </w:sdtContent>
  </w:sdt>
  <w:p w:rsidR="00F15A85" w:rsidRDefault="00F15A85">
    <w:pPr>
      <w:pStyle w:val="Sidefo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7C5E" w:rsidRDefault="00367C5E" w:rsidP="00AB6DF7">
      <w:pPr>
        <w:spacing w:after="0" w:line="240" w:lineRule="auto"/>
      </w:pPr>
      <w:r>
        <w:separator/>
      </w:r>
    </w:p>
  </w:footnote>
  <w:footnote w:type="continuationSeparator" w:id="0">
    <w:p w:rsidR="00367C5E" w:rsidRDefault="00367C5E" w:rsidP="00AB6DF7">
      <w:pPr>
        <w:spacing w:after="0" w:line="240" w:lineRule="auto"/>
      </w:pPr>
      <w:r>
        <w:continuationSeparator/>
      </w:r>
    </w:p>
  </w:footnote>
  <w:footnote w:id="1">
    <w:p w:rsidR="00E0454E" w:rsidRDefault="00E0454E">
      <w:pPr>
        <w:pStyle w:val="Fodnotetekst"/>
      </w:pPr>
      <w:r>
        <w:rPr>
          <w:rStyle w:val="Fodnotehenvisning"/>
        </w:rPr>
        <w:footnoteRef/>
      </w:r>
      <w:r>
        <w:t xml:space="preserve"> Knud Romer: Af den der blinker er bange for døden (2006)</w:t>
      </w:r>
    </w:p>
  </w:footnote>
  <w:footnote w:id="2">
    <w:p w:rsidR="00EB639F" w:rsidRDefault="00EB639F">
      <w:pPr>
        <w:pStyle w:val="Fodnotetekst"/>
      </w:pPr>
      <w:r>
        <w:rPr>
          <w:rStyle w:val="Fodnotehenvisning"/>
        </w:rPr>
        <w:footnoteRef/>
      </w:r>
      <w:r>
        <w:t xml:space="preserve"> Knud Romer: Af den der blinker er bange for døden (2006) S. 26 L. 25-30</w:t>
      </w:r>
    </w:p>
  </w:footnote>
  <w:footnote w:id="3">
    <w:p w:rsidR="00EB639F" w:rsidRDefault="00EB639F">
      <w:pPr>
        <w:pStyle w:val="Fodnotetekst"/>
      </w:pPr>
      <w:r>
        <w:rPr>
          <w:rStyle w:val="Fodnotehenvisning"/>
        </w:rPr>
        <w:footnoteRef/>
      </w:r>
      <w:r>
        <w:t xml:space="preserve"> Knud Romer: Af den der blinker er bange for døden (2006) S. 25 L. 1-6</w:t>
      </w:r>
    </w:p>
  </w:footnote>
  <w:footnote w:id="4">
    <w:p w:rsidR="00072A1E" w:rsidRDefault="00072A1E">
      <w:pPr>
        <w:pStyle w:val="Fodnotetekst"/>
      </w:pPr>
      <w:r>
        <w:rPr>
          <w:rStyle w:val="Fodnotehenvisning"/>
        </w:rPr>
        <w:footnoteRef/>
      </w:r>
      <w:r>
        <w:t xml:space="preserve"> Knud Romer: Af den der blinker er bange for døden (2006) S. 27 L. 9-17</w:t>
      </w:r>
    </w:p>
  </w:footnote>
  <w:footnote w:id="5">
    <w:p w:rsidR="0032591C" w:rsidRDefault="0032591C">
      <w:pPr>
        <w:pStyle w:val="Fodnotetekst"/>
      </w:pPr>
      <w:r>
        <w:rPr>
          <w:rStyle w:val="Fodnotehenvisning"/>
        </w:rPr>
        <w:footnoteRef/>
      </w:r>
      <w:r>
        <w:t xml:space="preserve"> Knud Romer: Af den der blinker er bange for døden (2006) S. 25 L. </w:t>
      </w:r>
      <w:r w:rsidR="0068575D">
        <w:t>22-11</w:t>
      </w:r>
    </w:p>
  </w:footnote>
  <w:footnote w:id="6">
    <w:p w:rsidR="00072A1E" w:rsidRDefault="00072A1E">
      <w:pPr>
        <w:pStyle w:val="Fodnotetekst"/>
      </w:pPr>
      <w:r>
        <w:rPr>
          <w:rStyle w:val="Fodnotehenvisning"/>
        </w:rPr>
        <w:footnoteRef/>
      </w:r>
      <w:r>
        <w:t xml:space="preserve"> Knud Romer: Af den der blinker er bange for døden (2006) S. 26 L. 12</w:t>
      </w:r>
    </w:p>
  </w:footnote>
  <w:footnote w:id="7">
    <w:p w:rsidR="00F95493" w:rsidRDefault="00F95493">
      <w:pPr>
        <w:pStyle w:val="Fodnotetekst"/>
      </w:pPr>
      <w:r>
        <w:rPr>
          <w:rStyle w:val="Fodnotehenvisning"/>
        </w:rPr>
        <w:footnoteRef/>
      </w:r>
      <w:r>
        <w:t xml:space="preserve"> Knud Romer: Af den der blinker er bange for døden (2006) S. 25 L.15-20</w:t>
      </w:r>
    </w:p>
  </w:footnote>
  <w:footnote w:id="8">
    <w:p w:rsidR="006A11B4" w:rsidRDefault="006A11B4">
      <w:pPr>
        <w:pStyle w:val="Fodnotetekst"/>
      </w:pPr>
      <w:r>
        <w:rPr>
          <w:rStyle w:val="Fodnotehenvisning"/>
        </w:rPr>
        <w:footnoteRef/>
      </w:r>
      <w:r>
        <w:t xml:space="preserve"> Knud Romer: Af den der blinker er bange for døden (2006) S. 25 L.1</w:t>
      </w:r>
      <w:r w:rsidR="00146255">
        <w:t>-4</w:t>
      </w:r>
    </w:p>
  </w:footnote>
  <w:footnote w:id="9">
    <w:p w:rsidR="002B71F7" w:rsidRDefault="002B71F7">
      <w:pPr>
        <w:pStyle w:val="Fodnotetekst"/>
      </w:pPr>
      <w:r>
        <w:rPr>
          <w:rStyle w:val="Fodnotehenvisning"/>
        </w:rPr>
        <w:footnoteRef/>
      </w:r>
      <w:r>
        <w:t xml:space="preserve"> </w:t>
      </w:r>
      <w:r>
        <w:rPr>
          <w:rFonts w:ascii="Calibri" w:hAnsi="Calibri"/>
          <w:color w:val="000000"/>
        </w:rPr>
        <w:t>Knud Romer: Af den der blinker er bange for døden (2006) S. 26 L</w:t>
      </w:r>
      <w:r w:rsidR="00C119AC">
        <w:rPr>
          <w:rFonts w:ascii="Calibri" w:hAnsi="Calibri"/>
          <w:color w:val="000000"/>
        </w:rPr>
        <w:t>.</w:t>
      </w:r>
      <w:r>
        <w:rPr>
          <w:rFonts w:ascii="Calibri" w:hAnsi="Calibri"/>
          <w:color w:val="000000"/>
        </w:rPr>
        <w:t xml:space="preserve"> 4-7</w:t>
      </w:r>
    </w:p>
  </w:footnote>
  <w:footnote w:id="10">
    <w:p w:rsidR="00C119AC" w:rsidRDefault="00C119AC">
      <w:pPr>
        <w:pStyle w:val="Fodnotetekst"/>
      </w:pPr>
      <w:r>
        <w:rPr>
          <w:rStyle w:val="Fodnotehenvisning"/>
        </w:rPr>
        <w:footnoteRef/>
      </w:r>
      <w:r>
        <w:t xml:space="preserve"> </w:t>
      </w:r>
      <w:r>
        <w:rPr>
          <w:rFonts w:ascii="Calibri" w:hAnsi="Calibri"/>
          <w:color w:val="000000"/>
        </w:rPr>
        <w:t xml:space="preserve">Knud Romer: Af den der blinker er bange for døden (2006) S. </w:t>
      </w:r>
      <w:proofErr w:type="gramStart"/>
      <w:r>
        <w:rPr>
          <w:rFonts w:ascii="Calibri" w:hAnsi="Calibri"/>
          <w:color w:val="000000"/>
        </w:rPr>
        <w:t>26  L</w:t>
      </w:r>
      <w:proofErr w:type="gramEnd"/>
      <w:r>
        <w:rPr>
          <w:rFonts w:ascii="Calibri" w:hAnsi="Calibri"/>
          <w:color w:val="000000"/>
        </w:rPr>
        <w:t>. 23-24</w:t>
      </w:r>
    </w:p>
  </w:footnote>
  <w:footnote w:id="11">
    <w:p w:rsidR="002348E7" w:rsidRDefault="002348E7">
      <w:pPr>
        <w:pStyle w:val="Fodnotetekst"/>
      </w:pPr>
      <w:r>
        <w:rPr>
          <w:rStyle w:val="Fodnotehenvisning"/>
        </w:rPr>
        <w:footnoteRef/>
      </w:r>
      <w:r>
        <w:t xml:space="preserve"> </w:t>
      </w:r>
      <w:r>
        <w:rPr>
          <w:rFonts w:ascii="Calibri" w:hAnsi="Calibri"/>
          <w:color w:val="000000"/>
        </w:rPr>
        <w:t xml:space="preserve">Knud Romer: Af den der blinker er bange for døden (2006) S. 27 L. 6-8 </w:t>
      </w:r>
    </w:p>
  </w:footnote>
  <w:footnote w:id="12">
    <w:p w:rsidR="00D544A5" w:rsidRDefault="00D544A5">
      <w:pPr>
        <w:pStyle w:val="Fodnotetekst"/>
      </w:pPr>
      <w:r>
        <w:rPr>
          <w:rStyle w:val="Fodnotehenvisning"/>
        </w:rPr>
        <w:footnoteRef/>
      </w:r>
      <w:r>
        <w:t xml:space="preserve"> </w:t>
      </w:r>
      <w:r>
        <w:rPr>
          <w:rFonts w:ascii="Calibri" w:hAnsi="Calibri"/>
          <w:color w:val="000000"/>
        </w:rPr>
        <w:t>Knud Romer: Af den der blinker er bange for døden (2006) S. 27 L. 19-8 ”Gardinerne var trykket for, og vinduerne gik indad og lukkede sig om sig selv og vores familie, der bestod af mor og far og mig - og ingen andre end os”</w:t>
      </w:r>
    </w:p>
  </w:footnote>
  <w:footnote w:id="13">
    <w:p w:rsidR="00D544A5" w:rsidRDefault="00D544A5">
      <w:pPr>
        <w:pStyle w:val="Fodnotetekst"/>
      </w:pPr>
      <w:r>
        <w:rPr>
          <w:rStyle w:val="Fodnotehenvisning"/>
        </w:rPr>
        <w:footnoteRef/>
      </w:r>
      <w:r>
        <w:t xml:space="preserve"> </w:t>
      </w:r>
      <w:r w:rsidRPr="00D544A5">
        <w:t>http://www.bibelselskabet.dk/ombibelen/spoerg_om_bibelen/udstoedelse_i_jehovas_vidner</w:t>
      </w:r>
    </w:p>
  </w:footnote>
  <w:footnote w:id="14">
    <w:p w:rsidR="00624CA9" w:rsidRDefault="00624CA9">
      <w:pPr>
        <w:pStyle w:val="Fodnotetekst"/>
      </w:pPr>
      <w:r>
        <w:rPr>
          <w:rStyle w:val="Fodnotehenvisning"/>
        </w:rPr>
        <w:footnoteRef/>
      </w:r>
      <w:r>
        <w:t xml:space="preserve"> </w:t>
      </w:r>
      <w:r>
        <w:rPr>
          <w:rFonts w:ascii="Calibri" w:hAnsi="Calibri"/>
          <w:color w:val="000000"/>
        </w:rPr>
        <w:t xml:space="preserve">Knud Romer: Af den der blinker er bange for døden (2006) S. </w:t>
      </w:r>
      <w:proofErr w:type="gramStart"/>
      <w:r>
        <w:rPr>
          <w:rFonts w:ascii="Calibri" w:hAnsi="Calibri"/>
          <w:color w:val="000000"/>
        </w:rPr>
        <w:t>26  L</w:t>
      </w:r>
      <w:proofErr w:type="gramEnd"/>
      <w:r>
        <w:rPr>
          <w:rFonts w:ascii="Calibri" w:hAnsi="Calibri"/>
          <w:color w:val="000000"/>
        </w:rPr>
        <w:t>. 23-24</w:t>
      </w:r>
    </w:p>
  </w:footnote>
  <w:footnote w:id="15">
    <w:p w:rsidR="00E27629" w:rsidRDefault="00E27629">
      <w:pPr>
        <w:pStyle w:val="Fodnotetekst"/>
      </w:pPr>
      <w:r>
        <w:rPr>
          <w:rStyle w:val="Fodnotehenvisning"/>
        </w:rPr>
        <w:footnoteRef/>
      </w:r>
      <w:r>
        <w:t xml:space="preserve"> </w:t>
      </w:r>
      <w:r w:rsidRPr="00E27629">
        <w:t>http://www.kristeligt-dagblad.dk/kultur/selvf%C3%B8lgelig-m%C3%A5-forfattere-lyve</w:t>
      </w:r>
    </w:p>
  </w:footnote>
  <w:footnote w:id="16">
    <w:p w:rsidR="00256E13" w:rsidRDefault="00256E13">
      <w:pPr>
        <w:pStyle w:val="Fodnotetekst"/>
      </w:pPr>
      <w:r>
        <w:rPr>
          <w:rStyle w:val="Fodnotehenvisning"/>
        </w:rPr>
        <w:footnoteRef/>
      </w:r>
      <w:r>
        <w:t xml:space="preserve"> </w:t>
      </w:r>
      <w:r w:rsidRPr="00256E13">
        <w:t>http://www.litteratursiden.dk/forfattere/interviews/knud-romer-den-som-blinker-er-bange-doeden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6DF7" w:rsidRDefault="00AB6DF7">
    <w:pPr>
      <w:pStyle w:val="Sidehoved"/>
    </w:pPr>
    <w:r>
      <w:t>DANSK A - HH2C - Mads B. Grønning</w:t>
    </w:r>
  </w:p>
  <w:p w:rsidR="00AB6DF7" w:rsidRDefault="00AB6DF7">
    <w:pPr>
      <w:pStyle w:val="Sidehoved"/>
    </w:pPr>
    <w:r>
      <w:t>Holstebro Handelsgymnasium 07/11/2014</w:t>
    </w:r>
  </w:p>
  <w:p w:rsidR="00AB6DF7" w:rsidRDefault="00AB6DF7">
    <w:pPr>
      <w:pStyle w:val="Sidehoved"/>
    </w:pPr>
    <w:r>
      <w:t>Knud Romer og det selvbiografiske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DF7"/>
    <w:rsid w:val="00044310"/>
    <w:rsid w:val="00072A1E"/>
    <w:rsid w:val="00085BDA"/>
    <w:rsid w:val="000F6BD8"/>
    <w:rsid w:val="001008D6"/>
    <w:rsid w:val="001167D3"/>
    <w:rsid w:val="00146255"/>
    <w:rsid w:val="00154733"/>
    <w:rsid w:val="0019237A"/>
    <w:rsid w:val="002348E7"/>
    <w:rsid w:val="00256E13"/>
    <w:rsid w:val="00293BF0"/>
    <w:rsid w:val="002B71F7"/>
    <w:rsid w:val="002C4480"/>
    <w:rsid w:val="00315110"/>
    <w:rsid w:val="0032591C"/>
    <w:rsid w:val="00367C5E"/>
    <w:rsid w:val="0041167F"/>
    <w:rsid w:val="004F571D"/>
    <w:rsid w:val="00585C72"/>
    <w:rsid w:val="00624CA9"/>
    <w:rsid w:val="0065629A"/>
    <w:rsid w:val="0068575D"/>
    <w:rsid w:val="00686D00"/>
    <w:rsid w:val="006A11B4"/>
    <w:rsid w:val="006D3565"/>
    <w:rsid w:val="00881C96"/>
    <w:rsid w:val="00973352"/>
    <w:rsid w:val="009B5B51"/>
    <w:rsid w:val="00A62F12"/>
    <w:rsid w:val="00A91D45"/>
    <w:rsid w:val="00AB6DF7"/>
    <w:rsid w:val="00B1770A"/>
    <w:rsid w:val="00C119AC"/>
    <w:rsid w:val="00D544A5"/>
    <w:rsid w:val="00E0454E"/>
    <w:rsid w:val="00E210FB"/>
    <w:rsid w:val="00E27629"/>
    <w:rsid w:val="00EB5E4E"/>
    <w:rsid w:val="00EB639F"/>
    <w:rsid w:val="00ED4EE8"/>
    <w:rsid w:val="00F15A85"/>
    <w:rsid w:val="00F51598"/>
    <w:rsid w:val="00F57A9E"/>
    <w:rsid w:val="00F95493"/>
    <w:rsid w:val="00FF7C5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AB6DF7"/>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AB6DF7"/>
  </w:style>
  <w:style w:type="paragraph" w:styleId="Sidefod">
    <w:name w:val="footer"/>
    <w:basedOn w:val="Normal"/>
    <w:link w:val="SidefodTegn"/>
    <w:uiPriority w:val="99"/>
    <w:unhideWhenUsed/>
    <w:rsid w:val="00AB6DF7"/>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AB6DF7"/>
  </w:style>
  <w:style w:type="paragraph" w:styleId="Titel">
    <w:name w:val="Title"/>
    <w:basedOn w:val="Normal"/>
    <w:next w:val="Normal"/>
    <w:link w:val="TitelTegn"/>
    <w:uiPriority w:val="10"/>
    <w:qFormat/>
    <w:rsid w:val="00AB6DF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Tegn">
    <w:name w:val="Titel Tegn"/>
    <w:basedOn w:val="Standardskrifttypeiafsnit"/>
    <w:link w:val="Titel"/>
    <w:uiPriority w:val="10"/>
    <w:rsid w:val="00AB6DF7"/>
    <w:rPr>
      <w:rFonts w:asciiTheme="majorHAnsi" w:eastAsiaTheme="majorEastAsia" w:hAnsiTheme="majorHAnsi" w:cstheme="majorBidi"/>
      <w:color w:val="17365D" w:themeColor="text2" w:themeShade="BF"/>
      <w:spacing w:val="5"/>
      <w:kern w:val="28"/>
      <w:sz w:val="52"/>
      <w:szCs w:val="52"/>
    </w:rPr>
  </w:style>
  <w:style w:type="paragraph" w:styleId="Undertitel">
    <w:name w:val="Subtitle"/>
    <w:basedOn w:val="Normal"/>
    <w:next w:val="Normal"/>
    <w:link w:val="UndertitelTegn"/>
    <w:uiPriority w:val="11"/>
    <w:qFormat/>
    <w:rsid w:val="00AB6DF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titelTegn">
    <w:name w:val="Undertitel Tegn"/>
    <w:basedOn w:val="Standardskrifttypeiafsnit"/>
    <w:link w:val="Undertitel"/>
    <w:uiPriority w:val="11"/>
    <w:rsid w:val="00AB6DF7"/>
    <w:rPr>
      <w:rFonts w:asciiTheme="majorHAnsi" w:eastAsiaTheme="majorEastAsia" w:hAnsiTheme="majorHAnsi" w:cstheme="majorBidi"/>
      <w:i/>
      <w:iCs/>
      <w:color w:val="4F81BD" w:themeColor="accent1"/>
      <w:spacing w:val="15"/>
      <w:sz w:val="24"/>
      <w:szCs w:val="24"/>
    </w:rPr>
  </w:style>
  <w:style w:type="paragraph" w:styleId="Fodnotetekst">
    <w:name w:val="footnote text"/>
    <w:basedOn w:val="Normal"/>
    <w:link w:val="FodnotetekstTegn"/>
    <w:uiPriority w:val="99"/>
    <w:semiHidden/>
    <w:unhideWhenUsed/>
    <w:rsid w:val="00E0454E"/>
    <w:pPr>
      <w:spacing w:after="0" w:line="240" w:lineRule="auto"/>
    </w:pPr>
    <w:rPr>
      <w:sz w:val="20"/>
      <w:szCs w:val="20"/>
    </w:rPr>
  </w:style>
  <w:style w:type="character" w:customStyle="1" w:styleId="FodnotetekstTegn">
    <w:name w:val="Fodnotetekst Tegn"/>
    <w:basedOn w:val="Standardskrifttypeiafsnit"/>
    <w:link w:val="Fodnotetekst"/>
    <w:uiPriority w:val="99"/>
    <w:semiHidden/>
    <w:rsid w:val="00E0454E"/>
    <w:rPr>
      <w:sz w:val="20"/>
      <w:szCs w:val="20"/>
    </w:rPr>
  </w:style>
  <w:style w:type="character" w:styleId="Fodnotehenvisning">
    <w:name w:val="footnote reference"/>
    <w:basedOn w:val="Standardskrifttypeiafsnit"/>
    <w:uiPriority w:val="99"/>
    <w:semiHidden/>
    <w:unhideWhenUsed/>
    <w:rsid w:val="00E0454E"/>
    <w:rPr>
      <w:vertAlign w:val="superscript"/>
    </w:rPr>
  </w:style>
  <w:style w:type="character" w:styleId="Hyperlink">
    <w:name w:val="Hyperlink"/>
    <w:basedOn w:val="Standardskrifttypeiafsnit"/>
    <w:uiPriority w:val="99"/>
    <w:unhideWhenUsed/>
    <w:rsid w:val="006A11B4"/>
    <w:rPr>
      <w:color w:val="0000FF" w:themeColor="hyperlink"/>
      <w:u w:val="single"/>
    </w:rPr>
  </w:style>
  <w:style w:type="character" w:styleId="BesgtHyperlink">
    <w:name w:val="FollowedHyperlink"/>
    <w:basedOn w:val="Standardskrifttypeiafsnit"/>
    <w:uiPriority w:val="99"/>
    <w:semiHidden/>
    <w:unhideWhenUsed/>
    <w:rsid w:val="006A11B4"/>
    <w:rPr>
      <w:color w:val="800080" w:themeColor="followedHyperlink"/>
      <w:u w:val="single"/>
    </w:rPr>
  </w:style>
  <w:style w:type="paragraph" w:styleId="Markeringsbobletekst">
    <w:name w:val="Balloon Text"/>
    <w:basedOn w:val="Normal"/>
    <w:link w:val="MarkeringsbobletekstTegn"/>
    <w:uiPriority w:val="99"/>
    <w:semiHidden/>
    <w:unhideWhenUsed/>
    <w:rsid w:val="00044310"/>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0443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AB6DF7"/>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AB6DF7"/>
  </w:style>
  <w:style w:type="paragraph" w:styleId="Sidefod">
    <w:name w:val="footer"/>
    <w:basedOn w:val="Normal"/>
    <w:link w:val="SidefodTegn"/>
    <w:uiPriority w:val="99"/>
    <w:unhideWhenUsed/>
    <w:rsid w:val="00AB6DF7"/>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AB6DF7"/>
  </w:style>
  <w:style w:type="paragraph" w:styleId="Titel">
    <w:name w:val="Title"/>
    <w:basedOn w:val="Normal"/>
    <w:next w:val="Normal"/>
    <w:link w:val="TitelTegn"/>
    <w:uiPriority w:val="10"/>
    <w:qFormat/>
    <w:rsid w:val="00AB6DF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Tegn">
    <w:name w:val="Titel Tegn"/>
    <w:basedOn w:val="Standardskrifttypeiafsnit"/>
    <w:link w:val="Titel"/>
    <w:uiPriority w:val="10"/>
    <w:rsid w:val="00AB6DF7"/>
    <w:rPr>
      <w:rFonts w:asciiTheme="majorHAnsi" w:eastAsiaTheme="majorEastAsia" w:hAnsiTheme="majorHAnsi" w:cstheme="majorBidi"/>
      <w:color w:val="17365D" w:themeColor="text2" w:themeShade="BF"/>
      <w:spacing w:val="5"/>
      <w:kern w:val="28"/>
      <w:sz w:val="52"/>
      <w:szCs w:val="52"/>
    </w:rPr>
  </w:style>
  <w:style w:type="paragraph" w:styleId="Undertitel">
    <w:name w:val="Subtitle"/>
    <w:basedOn w:val="Normal"/>
    <w:next w:val="Normal"/>
    <w:link w:val="UndertitelTegn"/>
    <w:uiPriority w:val="11"/>
    <w:qFormat/>
    <w:rsid w:val="00AB6DF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titelTegn">
    <w:name w:val="Undertitel Tegn"/>
    <w:basedOn w:val="Standardskrifttypeiafsnit"/>
    <w:link w:val="Undertitel"/>
    <w:uiPriority w:val="11"/>
    <w:rsid w:val="00AB6DF7"/>
    <w:rPr>
      <w:rFonts w:asciiTheme="majorHAnsi" w:eastAsiaTheme="majorEastAsia" w:hAnsiTheme="majorHAnsi" w:cstheme="majorBidi"/>
      <w:i/>
      <w:iCs/>
      <w:color w:val="4F81BD" w:themeColor="accent1"/>
      <w:spacing w:val="15"/>
      <w:sz w:val="24"/>
      <w:szCs w:val="24"/>
    </w:rPr>
  </w:style>
  <w:style w:type="paragraph" w:styleId="Fodnotetekst">
    <w:name w:val="footnote text"/>
    <w:basedOn w:val="Normal"/>
    <w:link w:val="FodnotetekstTegn"/>
    <w:uiPriority w:val="99"/>
    <w:semiHidden/>
    <w:unhideWhenUsed/>
    <w:rsid w:val="00E0454E"/>
    <w:pPr>
      <w:spacing w:after="0" w:line="240" w:lineRule="auto"/>
    </w:pPr>
    <w:rPr>
      <w:sz w:val="20"/>
      <w:szCs w:val="20"/>
    </w:rPr>
  </w:style>
  <w:style w:type="character" w:customStyle="1" w:styleId="FodnotetekstTegn">
    <w:name w:val="Fodnotetekst Tegn"/>
    <w:basedOn w:val="Standardskrifttypeiafsnit"/>
    <w:link w:val="Fodnotetekst"/>
    <w:uiPriority w:val="99"/>
    <w:semiHidden/>
    <w:rsid w:val="00E0454E"/>
    <w:rPr>
      <w:sz w:val="20"/>
      <w:szCs w:val="20"/>
    </w:rPr>
  </w:style>
  <w:style w:type="character" w:styleId="Fodnotehenvisning">
    <w:name w:val="footnote reference"/>
    <w:basedOn w:val="Standardskrifttypeiafsnit"/>
    <w:uiPriority w:val="99"/>
    <w:semiHidden/>
    <w:unhideWhenUsed/>
    <w:rsid w:val="00E0454E"/>
    <w:rPr>
      <w:vertAlign w:val="superscript"/>
    </w:rPr>
  </w:style>
  <w:style w:type="character" w:styleId="Hyperlink">
    <w:name w:val="Hyperlink"/>
    <w:basedOn w:val="Standardskrifttypeiafsnit"/>
    <w:uiPriority w:val="99"/>
    <w:unhideWhenUsed/>
    <w:rsid w:val="006A11B4"/>
    <w:rPr>
      <w:color w:val="0000FF" w:themeColor="hyperlink"/>
      <w:u w:val="single"/>
    </w:rPr>
  </w:style>
  <w:style w:type="character" w:styleId="BesgtHyperlink">
    <w:name w:val="FollowedHyperlink"/>
    <w:basedOn w:val="Standardskrifttypeiafsnit"/>
    <w:uiPriority w:val="99"/>
    <w:semiHidden/>
    <w:unhideWhenUsed/>
    <w:rsid w:val="006A11B4"/>
    <w:rPr>
      <w:color w:val="800080" w:themeColor="followedHyperlink"/>
      <w:u w:val="single"/>
    </w:rPr>
  </w:style>
  <w:style w:type="paragraph" w:styleId="Markeringsbobletekst">
    <w:name w:val="Balloon Text"/>
    <w:basedOn w:val="Normal"/>
    <w:link w:val="MarkeringsbobletekstTegn"/>
    <w:uiPriority w:val="99"/>
    <w:semiHidden/>
    <w:unhideWhenUsed/>
    <w:rsid w:val="00044310"/>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0443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6877A-ABF2-4BD4-BD35-1A6C11B08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823</TotalTime>
  <Pages>4</Pages>
  <Words>1123</Words>
  <Characters>6851</Characters>
  <Application>Microsoft Office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Mads Grønning</dc:creator>
  <cp:lastModifiedBy>Mads Grønning</cp:lastModifiedBy>
  <cp:revision>17</cp:revision>
  <cp:lastPrinted>2014-11-03T17:06:00Z</cp:lastPrinted>
  <dcterms:created xsi:type="dcterms:W3CDTF">2014-11-02T12:35:00Z</dcterms:created>
  <dcterms:modified xsi:type="dcterms:W3CDTF">2014-11-06T14:34:00Z</dcterms:modified>
</cp:coreProperties>
</file>